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59" w:rsidRPr="00496259" w:rsidRDefault="00603410" w:rsidP="00496259">
      <w:pPr>
        <w:ind w:left="3402" w:hanging="3402"/>
        <w:rPr>
          <w:rFonts w:eastAsia="Times New Roman"/>
          <w:b/>
          <w:kern w:val="0"/>
          <w:szCs w:val="20"/>
          <w:lang w:eastAsia="pl-PL"/>
        </w:rPr>
      </w:pPr>
      <w:r>
        <w:rPr>
          <w:rFonts w:eastAsia="Times New Roman"/>
          <w:b/>
          <w:kern w:val="0"/>
          <w:szCs w:val="20"/>
          <w:lang w:eastAsia="pl-PL"/>
        </w:rPr>
        <w:t>EZ/ZP/72/2017/RI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ab/>
        <w:t xml:space="preserve">                 </w:t>
      </w:r>
      <w:r w:rsidR="00496259">
        <w:rPr>
          <w:rFonts w:eastAsia="Times New Roman"/>
          <w:b/>
          <w:kern w:val="0"/>
          <w:szCs w:val="20"/>
          <w:lang w:eastAsia="pl-PL"/>
        </w:rPr>
        <w:tab/>
      </w:r>
      <w:r w:rsidR="00DE1587">
        <w:rPr>
          <w:rFonts w:eastAsia="Times New Roman"/>
          <w:b/>
          <w:kern w:val="0"/>
          <w:szCs w:val="20"/>
          <w:lang w:eastAsia="pl-PL"/>
        </w:rPr>
        <w:t>Załącznik nr 2b</w:t>
      </w:r>
      <w:r w:rsidR="00496259" w:rsidRPr="00496259">
        <w:rPr>
          <w:rFonts w:eastAsia="Times New Roman"/>
          <w:b/>
          <w:kern w:val="0"/>
          <w:szCs w:val="20"/>
          <w:lang w:eastAsia="pl-PL"/>
        </w:rPr>
        <w:t xml:space="preserve"> do SIWZ </w:t>
      </w:r>
    </w:p>
    <w:p w:rsidR="00F3688A" w:rsidRDefault="00496259" w:rsidP="00496259">
      <w:pPr>
        <w:ind w:left="5670"/>
        <w:rPr>
          <w:rFonts w:eastAsia="Times New Roman"/>
          <w:b/>
          <w:bCs/>
          <w:kern w:val="0"/>
          <w:szCs w:val="20"/>
          <w:lang w:eastAsia="pl-PL"/>
        </w:rPr>
      </w:pPr>
      <w:r w:rsidRPr="00496259">
        <w:rPr>
          <w:rFonts w:eastAsia="Times New Roman"/>
          <w:b/>
          <w:kern w:val="0"/>
          <w:szCs w:val="20"/>
          <w:lang w:eastAsia="pl-PL"/>
        </w:rPr>
        <w:t xml:space="preserve">(Załącznik nr 1 do umowy) </w:t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</w:t>
      </w:r>
    </w:p>
    <w:p w:rsidR="00496259" w:rsidRPr="00496259" w:rsidRDefault="00496259" w:rsidP="00496259">
      <w:pPr>
        <w:ind w:left="5670"/>
        <w:rPr>
          <w:rFonts w:eastAsia="Times New Roman"/>
          <w:b/>
          <w:kern w:val="0"/>
          <w:szCs w:val="20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 xml:space="preserve">    </w:t>
      </w:r>
    </w:p>
    <w:p w:rsidR="00496259" w:rsidRPr="00FE4310" w:rsidRDefault="00496259" w:rsidP="00496259">
      <w:pPr>
        <w:spacing w:before="100" w:beforeAutospacing="1" w:after="100" w:afterAutospacing="1"/>
        <w:rPr>
          <w:rFonts w:eastAsia="Times New Roman"/>
          <w:b/>
          <w:bCs/>
          <w:kern w:val="0"/>
          <w:sz w:val="26"/>
          <w:szCs w:val="26"/>
          <w:lang w:eastAsia="pl-PL"/>
        </w:rPr>
      </w:pP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 w:rsidRPr="00496259">
        <w:rPr>
          <w:rFonts w:eastAsia="Times New Roman"/>
          <w:b/>
          <w:bCs/>
          <w:kern w:val="0"/>
          <w:szCs w:val="20"/>
          <w:lang w:eastAsia="pl-PL"/>
        </w:rPr>
        <w:tab/>
      </w:r>
      <w:r>
        <w:rPr>
          <w:rFonts w:eastAsia="Times New Roman"/>
          <w:b/>
          <w:bCs/>
          <w:kern w:val="0"/>
          <w:szCs w:val="20"/>
          <w:lang w:eastAsia="pl-PL"/>
        </w:rPr>
        <w:tab/>
      </w:r>
      <w:r w:rsidRPr="00FE4310">
        <w:rPr>
          <w:rFonts w:eastAsia="Times New Roman"/>
          <w:b/>
          <w:bCs/>
          <w:kern w:val="0"/>
          <w:sz w:val="26"/>
          <w:szCs w:val="26"/>
          <w:lang w:eastAsia="pl-PL"/>
        </w:rPr>
        <w:t>OPIS PRZEDMIOTU ZAMÓWIENIA</w:t>
      </w:r>
    </w:p>
    <w:p w:rsidR="00DE1587" w:rsidRDefault="00496259" w:rsidP="00496259">
      <w:pPr>
        <w:spacing w:before="100" w:beforeAutospacing="1" w:after="100" w:afterAutospacing="1"/>
        <w:rPr>
          <w:rFonts w:ascii="Arial" w:eastAsia="Times New Roman" w:hAnsi="Arial"/>
          <w:b/>
          <w:bCs/>
          <w:kern w:val="0"/>
          <w:lang w:eastAsia="pl-PL"/>
        </w:rPr>
      </w:pPr>
      <w:r w:rsidRPr="00496259">
        <w:rPr>
          <w:rFonts w:ascii="Arial" w:eastAsia="Times New Roman" w:hAnsi="Arial"/>
          <w:b/>
          <w:bCs/>
          <w:kern w:val="0"/>
          <w:szCs w:val="20"/>
          <w:lang w:eastAsia="pl-PL"/>
        </w:rPr>
        <w:t>(W</w:t>
      </w:r>
      <w:r w:rsidRPr="00496259">
        <w:rPr>
          <w:rFonts w:ascii="Arial" w:eastAsia="Times New Roman" w:hAnsi="Arial"/>
          <w:b/>
          <w:bCs/>
          <w:kern w:val="0"/>
          <w:lang w:eastAsia="pl-PL"/>
        </w:rPr>
        <w:t>ymagane parametry technicz</w:t>
      </w:r>
      <w:r>
        <w:rPr>
          <w:rFonts w:ascii="Arial" w:eastAsia="Times New Roman" w:hAnsi="Arial"/>
          <w:b/>
          <w:bCs/>
          <w:kern w:val="0"/>
          <w:lang w:eastAsia="pl-PL"/>
        </w:rPr>
        <w:t>no</w:t>
      </w:r>
      <w:r w:rsidR="00DE1587">
        <w:rPr>
          <w:rFonts w:ascii="Arial" w:eastAsia="Times New Roman" w:hAnsi="Arial"/>
          <w:b/>
          <w:bCs/>
          <w:kern w:val="0"/>
          <w:lang w:eastAsia="pl-PL"/>
        </w:rPr>
        <w:t>-funkcjonalne dla stymulatorów</w:t>
      </w:r>
      <w:r w:rsidRPr="00496259">
        <w:rPr>
          <w:rFonts w:ascii="Arial" w:eastAsia="Times New Roman" w:hAnsi="Arial"/>
          <w:b/>
          <w:bCs/>
          <w:kern w:val="0"/>
          <w:lang w:eastAsia="pl-PL"/>
        </w:rPr>
        <w:t xml:space="preserve"> i elektrod)</w:t>
      </w:r>
      <w:r w:rsidR="00DE1587">
        <w:rPr>
          <w:rFonts w:ascii="Arial" w:eastAsia="Times New Roman" w:hAnsi="Arial"/>
          <w:b/>
          <w:bCs/>
          <w:kern w:val="0"/>
          <w:lang w:eastAsia="pl-PL"/>
        </w:rPr>
        <w:t xml:space="preserve">  </w:t>
      </w:r>
    </w:p>
    <w:p w:rsidR="00496259" w:rsidRPr="00496259" w:rsidRDefault="00DE1587" w:rsidP="000E62A4">
      <w:pPr>
        <w:spacing w:before="100" w:beforeAutospacing="1" w:after="100" w:afterAutospacing="1"/>
        <w:jc w:val="center"/>
        <w:rPr>
          <w:rFonts w:ascii="Arial" w:eastAsia="Times New Roman" w:hAnsi="Arial"/>
          <w:b/>
          <w:bCs/>
          <w:kern w:val="0"/>
          <w:lang w:eastAsia="pl-PL"/>
        </w:rPr>
      </w:pPr>
      <w:r>
        <w:rPr>
          <w:rFonts w:ascii="Arial" w:eastAsia="Times New Roman" w:hAnsi="Arial"/>
          <w:b/>
          <w:bCs/>
          <w:kern w:val="0"/>
          <w:lang w:eastAsia="pl-PL"/>
        </w:rPr>
        <w:t xml:space="preserve">PAKIET NR 2 - </w:t>
      </w:r>
      <w:r w:rsidRPr="00DE1587">
        <w:rPr>
          <w:rFonts w:ascii="Arial" w:eastAsia="Times New Roman" w:hAnsi="Arial"/>
          <w:b/>
          <w:bCs/>
          <w:kern w:val="0"/>
          <w:lang w:eastAsia="pl-PL"/>
        </w:rPr>
        <w:t xml:space="preserve">lecznicze środki techniczne - stymulatory serca </w:t>
      </w:r>
      <w:r w:rsidR="00B04709">
        <w:rPr>
          <w:rFonts w:ascii="Arial" w:eastAsia="Times New Roman" w:hAnsi="Arial"/>
          <w:b/>
          <w:bCs/>
          <w:kern w:val="0"/>
          <w:lang w:eastAsia="pl-PL"/>
        </w:rPr>
        <w:t xml:space="preserve">                           </w:t>
      </w:r>
      <w:r w:rsidRPr="00DE1587">
        <w:rPr>
          <w:rFonts w:ascii="Arial" w:eastAsia="Times New Roman" w:hAnsi="Arial"/>
          <w:b/>
          <w:bCs/>
          <w:kern w:val="0"/>
          <w:lang w:eastAsia="pl-PL"/>
        </w:rPr>
        <w:t>(z rozszerzonymi funkcjami diagnostycznymi)</w:t>
      </w:r>
    </w:p>
    <w:p w:rsidR="002D0563" w:rsidRDefault="002D0563" w:rsidP="002D0563">
      <w:pPr>
        <w:shd w:val="clear" w:color="auto" w:fill="FFFFFF"/>
        <w:spacing w:line="250" w:lineRule="exact"/>
        <w:rPr>
          <w:b/>
          <w:bCs/>
          <w:spacing w:val="-1"/>
        </w:rPr>
      </w:pPr>
    </w:p>
    <w:p w:rsidR="00F3688A" w:rsidRDefault="00F3688A" w:rsidP="002D0563">
      <w:pPr>
        <w:shd w:val="clear" w:color="auto" w:fill="FFFFFF"/>
        <w:spacing w:line="250" w:lineRule="exact"/>
        <w:rPr>
          <w:b/>
          <w:bCs/>
          <w:spacing w:val="-1"/>
        </w:rPr>
      </w:pPr>
    </w:p>
    <w:p w:rsidR="000E62A4" w:rsidRPr="000E62A4" w:rsidRDefault="00496259" w:rsidP="000E62A4">
      <w:pPr>
        <w:shd w:val="clear" w:color="auto" w:fill="FFFFFF"/>
        <w:spacing w:line="250" w:lineRule="exact"/>
        <w:rPr>
          <w:b/>
          <w:bCs/>
          <w:spacing w:val="-1"/>
        </w:rPr>
      </w:pPr>
      <w:r>
        <w:rPr>
          <w:b/>
          <w:bCs/>
          <w:spacing w:val="-1"/>
        </w:rPr>
        <w:t xml:space="preserve">1. </w:t>
      </w:r>
      <w:r w:rsidR="000E62A4" w:rsidRPr="000E62A4">
        <w:rPr>
          <w:b/>
          <w:bCs/>
          <w:spacing w:val="-1"/>
        </w:rPr>
        <w:t>Stymulatory DDDR MRI z funkcją pomiaru oporności śródklatkowej /możliwość detekcji narastającej dekompensacji krążenia/ – 600 szt.</w:t>
      </w:r>
    </w:p>
    <w:p w:rsidR="009A4268" w:rsidRDefault="009A4268" w:rsidP="009A4268">
      <w:pPr>
        <w:shd w:val="clear" w:color="auto" w:fill="FFFFFF"/>
        <w:spacing w:line="250" w:lineRule="exact"/>
        <w:rPr>
          <w:b/>
          <w:bCs/>
          <w:spacing w:val="-1"/>
        </w:rPr>
      </w:pPr>
    </w:p>
    <w:p w:rsidR="009A4268" w:rsidRDefault="009A4268" w:rsidP="009A4268">
      <w:pPr>
        <w:shd w:val="clear" w:color="auto" w:fill="FFFFFF"/>
        <w:spacing w:line="250" w:lineRule="exact"/>
        <w:rPr>
          <w:sz w:val="22"/>
          <w:szCs w:val="22"/>
        </w:rPr>
      </w:pPr>
    </w:p>
    <w:p w:rsidR="002D0563" w:rsidRDefault="002D0563" w:rsidP="00F3688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:rsidR="00496259" w:rsidRDefault="002D0563" w:rsidP="00F3688A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:rsidR="00496259" w:rsidRDefault="00496259" w:rsidP="00F3688A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:rsidR="00496259" w:rsidRDefault="00496259" w:rsidP="00F3688A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:rsidR="00F3688A" w:rsidRPr="00496259" w:rsidRDefault="00F3688A" w:rsidP="00F3688A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F3688A">
        <w:rPr>
          <w:rFonts w:eastAsia="Times New Roman"/>
          <w:kern w:val="0"/>
          <w:sz w:val="22"/>
          <w:szCs w:val="22"/>
          <w:lang w:eastAsia="pl-PL"/>
        </w:rPr>
        <w:t>Rok produkcji 2017/2018</w:t>
      </w:r>
      <w:r w:rsidR="00B96035">
        <w:rPr>
          <w:rFonts w:eastAsia="Times New Roman"/>
          <w:kern w:val="0"/>
          <w:sz w:val="22"/>
          <w:szCs w:val="22"/>
          <w:lang w:eastAsia="pl-PL"/>
        </w:rPr>
        <w:t>/2019</w:t>
      </w:r>
      <w:r>
        <w:rPr>
          <w:rFonts w:eastAsia="Times New Roman"/>
          <w:kern w:val="0"/>
          <w:sz w:val="22"/>
          <w:szCs w:val="22"/>
          <w:lang w:eastAsia="pl-PL"/>
        </w:rPr>
        <w:t>:</w:t>
      </w:r>
    </w:p>
    <w:p w:rsidR="00A14C66" w:rsidRDefault="002D0563" w:rsidP="002D0563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</w:p>
    <w:tbl>
      <w:tblPr>
        <w:tblW w:w="85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1738"/>
      </w:tblGrid>
      <w:tr w:rsidR="00A14C66" w:rsidRPr="00A14C66" w:rsidTr="00A14C66">
        <w:tc>
          <w:tcPr>
            <w:tcW w:w="4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>I.Parametry wymagane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>Graniczne wartości parametru</w:t>
            </w:r>
          </w:p>
        </w:tc>
        <w:tc>
          <w:tcPr>
            <w:tcW w:w="1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Ośw. spełnienia </w:t>
            </w:r>
          </w:p>
          <w:p w:rsidR="00A14C66" w:rsidRDefault="00A14C66" w:rsidP="00A14C66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>Parametru (TAK/NIE)</w:t>
            </w:r>
          </w:p>
          <w:p w:rsidR="00A14C66" w:rsidRPr="00A14C66" w:rsidRDefault="00A14C66" w:rsidP="00A14C66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9A4268">
              <w:rPr>
                <w:b/>
                <w:bCs/>
                <w:spacing w:val="-2"/>
                <w:sz w:val="22"/>
                <w:szCs w:val="22"/>
              </w:rPr>
              <w:t>/potwierdzić zaznaczeniem w katalogu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</w:p>
        </w:tc>
      </w:tr>
      <w:tr w:rsidR="00A14C66" w:rsidRPr="00B96035" w:rsidTr="00A14C66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Tryby stymulacji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val="en-GB"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val="en-GB" w:eastAsia="pl-PL"/>
              </w:rPr>
              <w:t>DDD(R); DDI(R); DOO(R); DDT(R);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val="en-US" w:eastAsia="pl-PL"/>
              </w:rPr>
            </w:pPr>
          </w:p>
        </w:tc>
      </w:tr>
      <w:tr w:rsidR="00A14C66" w:rsidRPr="00A14C66" w:rsidTr="00A14C66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 xml:space="preserve">Minimalny  czas pracy przy nastawach nominalnych  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140 miesięcy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A14C66" w:rsidRPr="00A14C66" w:rsidTr="00A14C66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Automatyczny pomiar progu stymulacji przez stymulator "beat to beat" w przedsionku i komorze, niezależnie od polarności elektrody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A14C66" w:rsidRPr="00A14C66" w:rsidTr="00A14C66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Automatyczna możliwość przełączania polarności w przypadku przekroczenia zakresu impedancji elektrod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A14C66" w:rsidRPr="00A14C66" w:rsidTr="00F3688A">
        <w:trPr>
          <w:trHeight w:val="496"/>
        </w:trPr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Histereza A-V delay  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minimum 3 tryby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A14C66" w:rsidRPr="00A14C66" w:rsidTr="00A14C66">
        <w:tc>
          <w:tcPr>
            <w:tcW w:w="425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Program nocny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A14C66" w:rsidRPr="00A14C66" w:rsidTr="00A14C66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Pamięć zapisów wewnątrzsercowych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≥35 s.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A14C66" w:rsidRPr="00A14C66" w:rsidTr="00A14C66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 xml:space="preserve">Pojemność baterii 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≥ 1,3 Ah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A14C66" w:rsidRPr="00A14C66" w:rsidTr="00A14C66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Programowalny sensor umożliwiający automatyczne wykrycia środowiska MRI i przełączenie w tryb bezpieczny do przeprowadzenia badania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A14C66" w:rsidRPr="00A14C66" w:rsidTr="00A14C66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lastRenderedPageBreak/>
              <w:t>Stymulator z możliwością oceny zastoju w obiegu małym (niewydolności serca) za pomocą pomiaru oporności śródklatkowej.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A14C66" w:rsidRPr="00A14C66" w:rsidTr="00A14C66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Automatyczna czułość w przedsionku i komorze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bottom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A14C66" w:rsidRPr="00A14C66" w:rsidTr="00A14C66">
        <w:tc>
          <w:tcPr>
            <w:tcW w:w="4253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>Histereza częstości programowana w dwóch niezależnych kanałach – minimum 3 tryby</w:t>
            </w:r>
          </w:p>
        </w:tc>
        <w:tc>
          <w:tcPr>
            <w:tcW w:w="255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kern w:val="0"/>
                <w:szCs w:val="20"/>
                <w:lang w:eastAsia="pl-PL"/>
              </w:rPr>
              <w:t xml:space="preserve">tak </w:t>
            </w:r>
          </w:p>
        </w:tc>
        <w:tc>
          <w:tcPr>
            <w:tcW w:w="1738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A14C66" w:rsidRPr="00A14C66" w:rsidRDefault="00A14C66" w:rsidP="00A14C66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</w:tbl>
    <w:p w:rsidR="002D0563" w:rsidRDefault="002D0563" w:rsidP="002D056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9A4268" w:rsidRDefault="002D0563" w:rsidP="002D0563">
      <w:pPr>
        <w:shd w:val="clear" w:color="auto" w:fill="FFFFFF"/>
        <w:spacing w:line="25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D0563" w:rsidRDefault="002D0563" w:rsidP="002D0563"/>
    <w:p w:rsidR="002D0563" w:rsidRDefault="002D0563" w:rsidP="002D0563"/>
    <w:p w:rsidR="002D0563" w:rsidRDefault="002D0563" w:rsidP="002D0563"/>
    <w:p w:rsidR="002D0563" w:rsidRDefault="002D0563" w:rsidP="002D0563"/>
    <w:p w:rsidR="002D0563" w:rsidRDefault="002D0563" w:rsidP="002D0563"/>
    <w:p w:rsidR="002D0563" w:rsidRDefault="002D0563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9A4268" w:rsidRDefault="009A4268" w:rsidP="002D0563">
      <w:pPr>
        <w:rPr>
          <w:b/>
        </w:rPr>
      </w:pPr>
    </w:p>
    <w:p w:rsidR="006E603F" w:rsidRDefault="006E603F" w:rsidP="002D0563">
      <w:pPr>
        <w:rPr>
          <w:b/>
        </w:rPr>
      </w:pPr>
    </w:p>
    <w:p w:rsidR="00E21BAA" w:rsidRDefault="00E21BA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F3688A" w:rsidRDefault="00F3688A" w:rsidP="002D0563">
      <w:pPr>
        <w:rPr>
          <w:b/>
        </w:rPr>
      </w:pPr>
    </w:p>
    <w:p w:rsidR="002D0563" w:rsidRDefault="002D0563" w:rsidP="002D0563">
      <w:pPr>
        <w:rPr>
          <w:b/>
        </w:rPr>
      </w:pPr>
    </w:p>
    <w:p w:rsidR="00496259" w:rsidRDefault="00496259" w:rsidP="002D0563">
      <w:pPr>
        <w:rPr>
          <w:b/>
        </w:rPr>
      </w:pPr>
    </w:p>
    <w:p w:rsidR="002D0563" w:rsidRPr="0066647A" w:rsidRDefault="002D0563" w:rsidP="002D0563">
      <w:pPr>
        <w:rPr>
          <w:b/>
        </w:rPr>
      </w:pPr>
    </w:p>
    <w:p w:rsidR="00F3688A" w:rsidRPr="00F3688A" w:rsidRDefault="00496259" w:rsidP="00F3688A">
      <w:pPr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2. </w:t>
      </w:r>
      <w:r w:rsidR="00F3688A" w:rsidRPr="00F3688A">
        <w:rPr>
          <w:b/>
          <w:bCs/>
          <w:spacing w:val="-1"/>
        </w:rPr>
        <w:t>Stymulatory SSIR MRI z funkcją pomiaru oporności śródklatkowej ( możliwość detekcji narastającej dekompensacji krążenia) – 300 szt.</w:t>
      </w:r>
    </w:p>
    <w:p w:rsidR="009A4268" w:rsidRDefault="009A4268" w:rsidP="009A4268">
      <w:pPr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 </w:t>
      </w:r>
    </w:p>
    <w:p w:rsidR="00F3688A" w:rsidRDefault="00F3688A" w:rsidP="00F3688A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:rsidR="00F3688A" w:rsidRDefault="00F3688A" w:rsidP="00F3688A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:rsidR="00F3688A" w:rsidRDefault="00F3688A" w:rsidP="00F3688A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:rsidR="00F3688A" w:rsidRDefault="00F3688A" w:rsidP="00F3688A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:rsidR="00496259" w:rsidRDefault="00F3688A" w:rsidP="00F3688A">
      <w:pPr>
        <w:shd w:val="clear" w:color="auto" w:fill="FFFFFF"/>
        <w:spacing w:line="250" w:lineRule="exact"/>
        <w:rPr>
          <w:rFonts w:eastAsia="Times New Roman"/>
          <w:kern w:val="0"/>
          <w:sz w:val="22"/>
          <w:szCs w:val="22"/>
          <w:lang w:eastAsia="pl-PL"/>
        </w:rPr>
      </w:pPr>
      <w:r w:rsidRPr="00F3688A">
        <w:rPr>
          <w:rFonts w:eastAsia="Times New Roman"/>
          <w:kern w:val="0"/>
          <w:sz w:val="22"/>
          <w:szCs w:val="22"/>
          <w:lang w:eastAsia="pl-PL"/>
        </w:rPr>
        <w:t>Rok produkcji 2017/2018</w:t>
      </w:r>
      <w:r w:rsidR="00B96035">
        <w:rPr>
          <w:rFonts w:eastAsia="Times New Roman"/>
          <w:kern w:val="0"/>
          <w:sz w:val="22"/>
          <w:szCs w:val="22"/>
          <w:lang w:eastAsia="pl-PL"/>
        </w:rPr>
        <w:t>/2019</w:t>
      </w:r>
      <w:r>
        <w:rPr>
          <w:rFonts w:eastAsia="Times New Roman"/>
          <w:kern w:val="0"/>
          <w:sz w:val="22"/>
          <w:szCs w:val="22"/>
          <w:lang w:eastAsia="pl-PL"/>
        </w:rPr>
        <w:t>:</w:t>
      </w:r>
    </w:p>
    <w:p w:rsidR="00496259" w:rsidRDefault="00496259" w:rsidP="00496259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p w:rsidR="002D0563" w:rsidRDefault="002D0563" w:rsidP="002D0563">
      <w:pPr>
        <w:rPr>
          <w:b/>
          <w:bCs/>
          <w:spacing w:val="-1"/>
        </w:rPr>
      </w:pPr>
    </w:p>
    <w:tbl>
      <w:tblPr>
        <w:tblW w:w="85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0"/>
        <w:gridCol w:w="2328"/>
        <w:gridCol w:w="2154"/>
      </w:tblGrid>
      <w:tr w:rsidR="00F3688A" w:rsidRPr="00F3688A" w:rsidTr="00F3688A">
        <w:tc>
          <w:tcPr>
            <w:tcW w:w="4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b/>
                <w:kern w:val="0"/>
                <w:szCs w:val="20"/>
                <w:lang w:eastAsia="pl-PL"/>
              </w:rPr>
              <w:t>I.Parametry wymagane</w:t>
            </w:r>
          </w:p>
        </w:tc>
        <w:tc>
          <w:tcPr>
            <w:tcW w:w="23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b/>
                <w:kern w:val="0"/>
                <w:szCs w:val="20"/>
                <w:lang w:eastAsia="pl-PL"/>
              </w:rPr>
              <w:t>Graniczne wartości parametru</w:t>
            </w:r>
          </w:p>
        </w:tc>
        <w:tc>
          <w:tcPr>
            <w:tcW w:w="21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A14C66" w:rsidRDefault="00F3688A" w:rsidP="00F3688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Ośw. spełnienia </w:t>
            </w:r>
          </w:p>
          <w:p w:rsidR="00F3688A" w:rsidRDefault="00F3688A" w:rsidP="00F3688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A14C66">
              <w:rPr>
                <w:rFonts w:eastAsia="Times New Roman"/>
                <w:b/>
                <w:kern w:val="0"/>
                <w:szCs w:val="20"/>
                <w:lang w:eastAsia="pl-PL"/>
              </w:rPr>
              <w:t>Parametru (TAK/NIE)</w:t>
            </w:r>
          </w:p>
          <w:p w:rsidR="00F3688A" w:rsidRPr="00F3688A" w:rsidRDefault="00F3688A" w:rsidP="00F3688A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9A4268">
              <w:rPr>
                <w:b/>
                <w:bCs/>
                <w:spacing w:val="-2"/>
                <w:sz w:val="22"/>
                <w:szCs w:val="22"/>
              </w:rPr>
              <w:t>/potwierdzić zaznaczeniem w katalogu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Tryby stymulacji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SSIR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 xml:space="preserve">Minimalny czas pracy przy nastawach nominalnych 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160 miesięcy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 xml:space="preserve">Waga stymulatora 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≤ 24 gram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Histereza częstości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minimum 3 tryby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Automatyczny pomiar progu stymulacji przez stymulator "beat to beat" w komorze, niezależnie od polarności elektrody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Automatyczna możliwość przełączania polarności w przypadku przekroczenia zakresu impedancji elektrody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Pamięć zapisów wewnątrzsercowych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co najmniej 100 sekund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 xml:space="preserve">Pojemność baterii 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≥ 1,3 Ah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Programowalny sensor umożliwiający automatyczne wykrycia środowiska MRI i przełączenie w tryb bezpieczny do przeprowadzenia badania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 xml:space="preserve">Program nocny 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Stymulator z możliwością oceny zastoju w obiegu małym (niewydolności serca) za pomocą pomiaru oporności śródklatkowej.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W pełni automatyczny follow-up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F3688A" w:rsidRPr="00F3688A" w:rsidTr="00F3688A">
        <w:tc>
          <w:tcPr>
            <w:tcW w:w="406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Monitorowanie impedancji elektrody</w:t>
            </w:r>
          </w:p>
        </w:tc>
        <w:tc>
          <w:tcPr>
            <w:tcW w:w="2328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 xml:space="preserve">tak </w:t>
            </w:r>
          </w:p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F3688A">
              <w:rPr>
                <w:rFonts w:eastAsia="Times New Roman"/>
                <w:kern w:val="0"/>
                <w:szCs w:val="20"/>
                <w:lang w:eastAsia="pl-PL"/>
              </w:rPr>
              <w:t> </w:t>
            </w:r>
          </w:p>
        </w:tc>
        <w:tc>
          <w:tcPr>
            <w:tcW w:w="2154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3688A" w:rsidRPr="00F3688A" w:rsidRDefault="00F3688A" w:rsidP="00F3688A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</w:tbl>
    <w:p w:rsidR="002D0563" w:rsidRDefault="002D0563" w:rsidP="002D0563">
      <w:pPr>
        <w:rPr>
          <w:b/>
          <w:bCs/>
          <w:spacing w:val="-1"/>
        </w:rPr>
      </w:pPr>
    </w:p>
    <w:p w:rsidR="002D0563" w:rsidRDefault="002D0563" w:rsidP="002D0563">
      <w:pPr>
        <w:rPr>
          <w:b/>
          <w:bCs/>
          <w:spacing w:val="-1"/>
        </w:rPr>
      </w:pPr>
    </w:p>
    <w:p w:rsidR="002D0563" w:rsidRDefault="002D0563" w:rsidP="002D0563">
      <w:pPr>
        <w:rPr>
          <w:b/>
          <w:bCs/>
          <w:spacing w:val="-1"/>
        </w:rPr>
      </w:pPr>
    </w:p>
    <w:p w:rsidR="002D0563" w:rsidRDefault="002D0563" w:rsidP="002D0563">
      <w:pPr>
        <w:rPr>
          <w:b/>
          <w:bCs/>
          <w:spacing w:val="-1"/>
        </w:rPr>
      </w:pPr>
    </w:p>
    <w:p w:rsidR="002D0563" w:rsidRDefault="002D0563" w:rsidP="002D0563">
      <w:pPr>
        <w:rPr>
          <w:b/>
          <w:bCs/>
          <w:spacing w:val="-1"/>
        </w:rPr>
      </w:pPr>
    </w:p>
    <w:p w:rsidR="002D0563" w:rsidRDefault="002D0563" w:rsidP="002D0563">
      <w:pPr>
        <w:rPr>
          <w:b/>
          <w:bCs/>
          <w:spacing w:val="-1"/>
        </w:rPr>
      </w:pPr>
    </w:p>
    <w:p w:rsidR="00794D2F" w:rsidRPr="00794D2F" w:rsidRDefault="007E668B" w:rsidP="00794D2F">
      <w:pPr>
        <w:rPr>
          <w:b/>
          <w:bCs/>
          <w:spacing w:val="-1"/>
        </w:rPr>
      </w:pPr>
      <w:r>
        <w:rPr>
          <w:b/>
          <w:bCs/>
          <w:spacing w:val="-1"/>
        </w:rPr>
        <w:t>3</w:t>
      </w:r>
      <w:r w:rsidR="00794D2F">
        <w:rPr>
          <w:b/>
          <w:bCs/>
          <w:spacing w:val="-1"/>
        </w:rPr>
        <w:t>.</w:t>
      </w:r>
      <w:r w:rsidR="00015F06" w:rsidRPr="00015F06">
        <w:rPr>
          <w:b/>
          <w:bCs/>
          <w:spacing w:val="-1"/>
        </w:rPr>
        <w:t xml:space="preserve"> </w:t>
      </w:r>
      <w:r w:rsidR="00794D2F" w:rsidRPr="00794D2F">
        <w:rPr>
          <w:b/>
          <w:bCs/>
          <w:spacing w:val="-1"/>
        </w:rPr>
        <w:t>Elektrody stymulujące  przedsionkowe i komorowe   -900 szt.</w:t>
      </w:r>
    </w:p>
    <w:p w:rsidR="00015F06" w:rsidRDefault="00015F06" w:rsidP="00015F06">
      <w:pPr>
        <w:rPr>
          <w:b/>
          <w:bCs/>
          <w:spacing w:val="-1"/>
        </w:rPr>
      </w:pPr>
    </w:p>
    <w:p w:rsidR="00794D2F" w:rsidRDefault="00794D2F" w:rsidP="00794D2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:rsidR="00794D2F" w:rsidRDefault="00794D2F" w:rsidP="00794D2F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:rsidR="00794D2F" w:rsidRDefault="00794D2F" w:rsidP="00794D2F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:rsidR="00794D2F" w:rsidRDefault="00794D2F" w:rsidP="00794D2F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:rsidR="00794D2F" w:rsidRDefault="00794D2F" w:rsidP="00794D2F">
      <w:pPr>
        <w:shd w:val="clear" w:color="auto" w:fill="FFFFFF"/>
        <w:spacing w:line="250" w:lineRule="exact"/>
        <w:rPr>
          <w:rFonts w:eastAsia="Times New Roman"/>
          <w:kern w:val="0"/>
          <w:sz w:val="22"/>
          <w:szCs w:val="22"/>
          <w:lang w:eastAsia="pl-PL"/>
        </w:rPr>
      </w:pPr>
      <w:r w:rsidRPr="00F3688A">
        <w:rPr>
          <w:rFonts w:eastAsia="Times New Roman"/>
          <w:kern w:val="0"/>
          <w:sz w:val="22"/>
          <w:szCs w:val="22"/>
          <w:lang w:eastAsia="pl-PL"/>
        </w:rPr>
        <w:t>Rok produkcji 2017/2018</w:t>
      </w:r>
      <w:r w:rsidR="00B96035">
        <w:rPr>
          <w:rFonts w:eastAsia="Times New Roman"/>
          <w:kern w:val="0"/>
          <w:sz w:val="22"/>
          <w:szCs w:val="22"/>
          <w:lang w:eastAsia="pl-PL"/>
        </w:rPr>
        <w:t>/2019</w:t>
      </w:r>
      <w:r>
        <w:rPr>
          <w:rFonts w:eastAsia="Times New Roman"/>
          <w:kern w:val="0"/>
          <w:sz w:val="22"/>
          <w:szCs w:val="22"/>
          <w:lang w:eastAsia="pl-PL"/>
        </w:rPr>
        <w:t>:</w:t>
      </w:r>
    </w:p>
    <w:p w:rsidR="00015F06" w:rsidRDefault="00015F06" w:rsidP="00015F06">
      <w:pPr>
        <w:rPr>
          <w:b/>
          <w:bCs/>
          <w:spacing w:val="-1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0"/>
        <w:gridCol w:w="2335"/>
        <w:gridCol w:w="2797"/>
      </w:tblGrid>
      <w:tr w:rsidR="00794D2F" w:rsidRPr="00794D2F" w:rsidTr="00794D2F">
        <w:tc>
          <w:tcPr>
            <w:tcW w:w="2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Opis parametru</w:t>
            </w:r>
          </w:p>
          <w:p w:rsidR="00794D2F" w:rsidRPr="00794D2F" w:rsidRDefault="00794D2F" w:rsidP="00794D2F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Parametry wymagane</w:t>
            </w:r>
          </w:p>
        </w:tc>
        <w:tc>
          <w:tcPr>
            <w:tcW w:w="27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PODAĆ/OPISAĆ</w:t>
            </w:r>
          </w:p>
          <w:p w:rsidR="00794D2F" w:rsidRPr="00794D2F" w:rsidRDefault="00794D2F" w:rsidP="00794D2F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PARAMETR OFEROWANY /potwierdzić zaznaczeniem w katalogu/</w:t>
            </w: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Elektrody pro - MRI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Długość elektrod</w:t>
            </w:r>
          </w:p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 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wymagane minimum 2 długości:</w:t>
            </w:r>
          </w:p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53 +/- 1 cm oraz 60 +/- 1 cm</w:t>
            </w:r>
          </w:p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Polarność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bipolarna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Materiał izolacji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Poliuretan lub silikon 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Fiksacja 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Możliwość wyboru –aktywna / pasywna 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Kształt 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 możliwość wyboru – prosta/J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Powłoka końcówki aktywnej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 podać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Oporność elektrody : nisko- / wysokoporowa</w:t>
            </w:r>
          </w:p>
        </w:tc>
        <w:tc>
          <w:tcPr>
            <w:tcW w:w="2335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 podać</w:t>
            </w:r>
          </w:p>
        </w:tc>
        <w:tc>
          <w:tcPr>
            <w:tcW w:w="2797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</w:tbl>
    <w:p w:rsidR="007E4631" w:rsidRDefault="007E4631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94D2F" w:rsidRPr="00794D2F" w:rsidRDefault="00794D2F" w:rsidP="00794D2F">
      <w:pPr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4.</w:t>
      </w:r>
      <w:r w:rsidRPr="00015F06">
        <w:rPr>
          <w:b/>
          <w:bCs/>
          <w:spacing w:val="-1"/>
        </w:rPr>
        <w:t xml:space="preserve"> </w:t>
      </w:r>
      <w:r w:rsidRPr="00794D2F">
        <w:rPr>
          <w:b/>
          <w:bCs/>
          <w:spacing w:val="-1"/>
        </w:rPr>
        <w:t>Zestawy introducerów do wprowadzania elektrod stymulujących przez żyłę podobojczykową   - 3000 szt.</w:t>
      </w:r>
    </w:p>
    <w:p w:rsidR="00794D2F" w:rsidRDefault="00794D2F" w:rsidP="00794D2F">
      <w:pPr>
        <w:rPr>
          <w:b/>
          <w:bCs/>
          <w:spacing w:val="-1"/>
        </w:rPr>
      </w:pPr>
    </w:p>
    <w:p w:rsidR="00794D2F" w:rsidRDefault="00794D2F" w:rsidP="00794D2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Nazwa produktu: </w:t>
      </w:r>
    </w:p>
    <w:p w:rsidR="00794D2F" w:rsidRDefault="00794D2F" w:rsidP="00794D2F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Producent:</w:t>
      </w:r>
    </w:p>
    <w:p w:rsidR="00794D2F" w:rsidRDefault="00794D2F" w:rsidP="00794D2F">
      <w:pPr>
        <w:shd w:val="clear" w:color="auto" w:fill="FFFFFF"/>
        <w:rPr>
          <w:spacing w:val="-2"/>
          <w:sz w:val="22"/>
          <w:szCs w:val="22"/>
        </w:rPr>
      </w:pPr>
      <w:r w:rsidRPr="00496259">
        <w:rPr>
          <w:spacing w:val="-2"/>
          <w:sz w:val="22"/>
          <w:szCs w:val="22"/>
        </w:rPr>
        <w:t>Nr katalogowy:</w:t>
      </w:r>
    </w:p>
    <w:p w:rsidR="00794D2F" w:rsidRDefault="00794D2F" w:rsidP="00794D2F">
      <w:pPr>
        <w:spacing w:after="120"/>
        <w:rPr>
          <w:rFonts w:eastAsia="Times New Roman"/>
          <w:kern w:val="0"/>
          <w:sz w:val="22"/>
          <w:szCs w:val="22"/>
          <w:lang w:eastAsia="pl-PL"/>
        </w:rPr>
      </w:pPr>
      <w:r w:rsidRPr="00496259">
        <w:rPr>
          <w:rFonts w:eastAsia="Times New Roman"/>
          <w:kern w:val="0"/>
          <w:sz w:val="22"/>
          <w:szCs w:val="22"/>
          <w:lang w:eastAsia="pl-PL"/>
        </w:rPr>
        <w:t>Kraj Pochodzenia:</w:t>
      </w:r>
    </w:p>
    <w:p w:rsidR="00794D2F" w:rsidRDefault="00794D2F" w:rsidP="00794D2F">
      <w:pPr>
        <w:shd w:val="clear" w:color="auto" w:fill="FFFFFF"/>
        <w:spacing w:line="250" w:lineRule="exact"/>
        <w:rPr>
          <w:rFonts w:eastAsia="Times New Roman"/>
          <w:kern w:val="0"/>
          <w:sz w:val="22"/>
          <w:szCs w:val="22"/>
          <w:lang w:eastAsia="pl-PL"/>
        </w:rPr>
      </w:pPr>
      <w:r w:rsidRPr="00F3688A">
        <w:rPr>
          <w:rFonts w:eastAsia="Times New Roman"/>
          <w:kern w:val="0"/>
          <w:sz w:val="22"/>
          <w:szCs w:val="22"/>
          <w:lang w:eastAsia="pl-PL"/>
        </w:rPr>
        <w:t>Rok produkcji 2017/2018</w:t>
      </w:r>
      <w:r w:rsidR="00B96035">
        <w:rPr>
          <w:rFonts w:eastAsia="Times New Roman"/>
          <w:kern w:val="0"/>
          <w:sz w:val="22"/>
          <w:szCs w:val="22"/>
          <w:lang w:eastAsia="pl-PL"/>
        </w:rPr>
        <w:t>/2019</w:t>
      </w:r>
      <w:bookmarkStart w:id="0" w:name="_GoBack"/>
      <w:bookmarkEnd w:id="0"/>
      <w:r>
        <w:rPr>
          <w:rFonts w:eastAsia="Times New Roman"/>
          <w:kern w:val="0"/>
          <w:sz w:val="22"/>
          <w:szCs w:val="22"/>
          <w:lang w:eastAsia="pl-PL"/>
        </w:rPr>
        <w:t>:</w:t>
      </w:r>
    </w:p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0"/>
        <w:gridCol w:w="1920"/>
        <w:gridCol w:w="2929"/>
      </w:tblGrid>
      <w:tr w:rsidR="00794D2F" w:rsidRPr="00794D2F" w:rsidTr="00794D2F">
        <w:tc>
          <w:tcPr>
            <w:tcW w:w="29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Opis parametru</w:t>
            </w:r>
          </w:p>
        </w:tc>
        <w:tc>
          <w:tcPr>
            <w:tcW w:w="1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Parametry wymagane</w:t>
            </w:r>
          </w:p>
        </w:tc>
        <w:tc>
          <w:tcPr>
            <w:tcW w:w="29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PODAĆ/OPISAĆ</w:t>
            </w:r>
          </w:p>
          <w:p w:rsidR="00794D2F" w:rsidRPr="00794D2F" w:rsidRDefault="00794D2F" w:rsidP="00794D2F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PARAMETR OFEROWANY /potwierdzić </w:t>
            </w:r>
            <w:r w:rsidRPr="00794D2F">
              <w:rPr>
                <w:rFonts w:eastAsia="Times New Roman"/>
                <w:b/>
                <w:kern w:val="0"/>
                <w:szCs w:val="20"/>
                <w:lang w:eastAsia="pl-PL"/>
              </w:rPr>
              <w:t>zaznaczeniem w katalogu</w:t>
            </w: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/</w:t>
            </w: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Średnica światła koszulki. </w:t>
            </w:r>
          </w:p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Minimum  trzy średnice: 8F, 9F, 10F.</w:t>
            </w:r>
          </w:p>
        </w:tc>
        <w:tc>
          <w:tcPr>
            <w:tcW w:w="292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Długość koszulki</w:t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15 +/- 1 cm</w:t>
            </w:r>
          </w:p>
        </w:tc>
        <w:tc>
          <w:tcPr>
            <w:tcW w:w="292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Koszulka rozrywana</w:t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92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Zestaw zawiera strzykawkę oraz igłę do nakłucia żyły podobojczykowej.</w:t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92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794D2F" w:rsidRPr="00794D2F" w:rsidTr="00794D2F">
        <w:tc>
          <w:tcPr>
            <w:tcW w:w="291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 xml:space="preserve">Zestaw zawiera mandryn o długości minimum  50 cm </w:t>
            </w:r>
          </w:p>
        </w:tc>
        <w:tc>
          <w:tcPr>
            <w:tcW w:w="192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  <w:r w:rsidRPr="00794D2F">
              <w:rPr>
                <w:rFonts w:eastAsia="Times New Roman"/>
                <w:kern w:val="0"/>
                <w:szCs w:val="20"/>
                <w:lang w:eastAsia="pl-PL"/>
              </w:rPr>
              <w:t>tak</w:t>
            </w:r>
          </w:p>
        </w:tc>
        <w:tc>
          <w:tcPr>
            <w:tcW w:w="292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94D2F" w:rsidRPr="00794D2F" w:rsidRDefault="00794D2F" w:rsidP="00794D2F">
            <w:pPr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</w:tbl>
    <w:p w:rsidR="00794D2F" w:rsidRDefault="00794D2F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E4631" w:rsidRDefault="007E4631" w:rsidP="007E4631">
      <w:pPr>
        <w:rPr>
          <w:rFonts w:eastAsia="Times New Roman"/>
          <w:kern w:val="0"/>
          <w:sz w:val="20"/>
          <w:szCs w:val="18"/>
          <w:lang w:eastAsia="pl-PL"/>
        </w:rPr>
      </w:pPr>
    </w:p>
    <w:p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:rsidR="007E4631" w:rsidRPr="007E4631" w:rsidRDefault="007E4631" w:rsidP="002A0CA3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:rsidR="007E4631" w:rsidRPr="007E4631" w:rsidRDefault="007E4631" w:rsidP="002A0CA3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:rsidR="007E4631" w:rsidRPr="007E4631" w:rsidRDefault="007E4631" w:rsidP="002A0CA3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 w:rsidRPr="007E4631"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:rsidR="007E4631" w:rsidRPr="007E4631" w:rsidRDefault="007E4631" w:rsidP="002A0CA3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:rsidR="007E4631" w:rsidRPr="007E4631" w:rsidRDefault="007E4631" w:rsidP="002A0CA3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>1. Oświadczamy, że przedstawione powyżej dane są prawdziwe oraz zobowiązujemy się w przypadku wygrania przetargu do dostarczenia sprzętu spełniającego wyspecyfikowane parametry.</w:t>
      </w:r>
    </w:p>
    <w:p w:rsidR="00766774" w:rsidRPr="00766774" w:rsidRDefault="007E4631" w:rsidP="00766774">
      <w:pPr>
        <w:widowControl/>
        <w:spacing w:line="300" w:lineRule="auto"/>
        <w:ind w:right="118"/>
        <w:jc w:val="both"/>
        <w:rPr>
          <w:rFonts w:eastAsia="Times New Roman" w:cs="Arial"/>
          <w:bCs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 xml:space="preserve">2. Oświadczamy, iż zobowiązujemy się </w:t>
      </w:r>
      <w:r w:rsidR="002A0CA3" w:rsidRPr="002A0CA3">
        <w:rPr>
          <w:rFonts w:eastAsia="Times New Roman" w:cs="Arial"/>
          <w:kern w:val="0"/>
          <w:sz w:val="20"/>
          <w:szCs w:val="20"/>
          <w:lang w:eastAsia="ar-SA"/>
        </w:rPr>
        <w:t xml:space="preserve">do nieodpłatnego zabezpieczenia Zamawiającego </w:t>
      </w:r>
      <w:r w:rsidR="00766774">
        <w:rPr>
          <w:rFonts w:eastAsia="Times New Roman" w:cs="Arial"/>
          <w:kern w:val="0"/>
          <w:sz w:val="20"/>
          <w:szCs w:val="20"/>
          <w:lang w:eastAsia="ar-SA"/>
        </w:rPr>
        <w:t>w pełne</w:t>
      </w:r>
      <w:r w:rsidR="00766774" w:rsidRPr="00766774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instrumentarium niezbędne do implantacji, kontroli i sterowania typem</w:t>
      </w:r>
      <w:r w:rsidR="00794D2F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dostarczonego stymulatora</w:t>
      </w:r>
      <w:r w:rsidR="00766774" w:rsidRPr="00766774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(programatorów wraz z oprogramowaniem</w:t>
      </w:r>
      <w:r w:rsidR="00514E6B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 – 4 szt.</w:t>
      </w:r>
      <w:r w:rsidR="00766774" w:rsidRPr="00766774">
        <w:rPr>
          <w:rFonts w:eastAsia="Times New Roman" w:cs="Arial"/>
          <w:bCs/>
          <w:kern w:val="0"/>
          <w:sz w:val="20"/>
          <w:szCs w:val="20"/>
          <w:lang w:eastAsia="ar-SA"/>
        </w:rPr>
        <w:t xml:space="preserve">) - na podstawie umowy użyczenia stanowiącej załącznik nr 3a do SIWZ. </w:t>
      </w:r>
    </w:p>
    <w:p w:rsidR="007E4631" w:rsidRDefault="007E4631" w:rsidP="00766774">
      <w:pPr>
        <w:widowControl/>
        <w:spacing w:line="300" w:lineRule="auto"/>
        <w:ind w:right="118"/>
        <w:jc w:val="both"/>
        <w:rPr>
          <w:rFonts w:eastAsia="Times New Roman" w:cs="Calibri"/>
          <w:b/>
          <w:bCs/>
          <w:kern w:val="0"/>
          <w:sz w:val="22"/>
          <w:szCs w:val="22"/>
          <w:lang w:eastAsia="ar-SA"/>
        </w:rPr>
      </w:pPr>
    </w:p>
    <w:p w:rsidR="00056822" w:rsidRDefault="00056822" w:rsidP="007E4631">
      <w:pPr>
        <w:widowControl/>
        <w:spacing w:line="300" w:lineRule="auto"/>
        <w:ind w:left="1701" w:right="118" w:hanging="1701"/>
        <w:rPr>
          <w:rFonts w:eastAsia="Times New Roman" w:cs="Calibri"/>
          <w:b/>
          <w:bCs/>
          <w:kern w:val="0"/>
          <w:sz w:val="22"/>
          <w:szCs w:val="22"/>
          <w:lang w:eastAsia="ar-SA"/>
        </w:rPr>
      </w:pPr>
    </w:p>
    <w:p w:rsidR="00056822" w:rsidRPr="007E4631" w:rsidRDefault="00056822" w:rsidP="007E4631">
      <w:pPr>
        <w:widowControl/>
        <w:spacing w:line="300" w:lineRule="auto"/>
        <w:ind w:left="1701" w:right="118" w:hanging="1701"/>
        <w:rPr>
          <w:rFonts w:eastAsia="Times New Roman" w:cs="Calibri"/>
          <w:b/>
          <w:bCs/>
          <w:kern w:val="0"/>
          <w:sz w:val="22"/>
          <w:szCs w:val="22"/>
          <w:lang w:eastAsia="ar-SA"/>
        </w:rPr>
      </w:pPr>
    </w:p>
    <w:p w:rsidR="007E4631" w:rsidRPr="007E4631" w:rsidRDefault="007E4631" w:rsidP="007E4631">
      <w:pPr>
        <w:ind w:left="4536"/>
        <w:rPr>
          <w:rFonts w:ascii="Arial" w:eastAsia="Times New Roman" w:hAnsi="Arial" w:cs="Arial"/>
          <w:kern w:val="0"/>
          <w:sz w:val="18"/>
          <w:szCs w:val="18"/>
          <w:lang w:eastAsia="pl-PL"/>
        </w:rPr>
      </w:pPr>
      <w:r w:rsidRPr="007E4631"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..................................................................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</w:rPr>
        <w:t>........................</w:t>
      </w:r>
    </w:p>
    <w:p w:rsidR="007E4631" w:rsidRPr="007E4631" w:rsidRDefault="007E4631" w:rsidP="007E4631">
      <w:pPr>
        <w:ind w:left="4698"/>
        <w:rPr>
          <w:rFonts w:ascii="Arial" w:eastAsia="Times New Roman" w:hAnsi="Arial" w:cs="Arial"/>
          <w:kern w:val="0"/>
          <w:sz w:val="16"/>
          <w:szCs w:val="16"/>
          <w:lang w:eastAsia="pl-PL"/>
        </w:rPr>
      </w:pPr>
      <w:r w:rsidRPr="007E4631">
        <w:rPr>
          <w:rFonts w:ascii="Arial" w:eastAsia="Times New Roman" w:hAnsi="Arial" w:cs="Arial"/>
          <w:kern w:val="0"/>
          <w:sz w:val="16"/>
          <w:szCs w:val="16"/>
          <w:lang w:eastAsia="pl-PL"/>
        </w:rPr>
        <w:t xml:space="preserve">Pieczęć i podpis osoby uprawnionej do reprezentowania </w:t>
      </w:r>
      <w:r>
        <w:rPr>
          <w:rFonts w:ascii="Arial" w:eastAsia="Times New Roman" w:hAnsi="Arial" w:cs="Arial"/>
          <w:kern w:val="0"/>
          <w:sz w:val="16"/>
          <w:szCs w:val="16"/>
          <w:lang w:eastAsia="pl-PL"/>
        </w:rPr>
        <w:t xml:space="preserve">  </w:t>
      </w:r>
      <w:r w:rsidRPr="007E4631">
        <w:rPr>
          <w:rFonts w:ascii="Arial" w:eastAsia="Times New Roman" w:hAnsi="Arial" w:cs="Arial"/>
          <w:kern w:val="0"/>
          <w:sz w:val="16"/>
          <w:szCs w:val="16"/>
          <w:lang w:eastAsia="pl-PL"/>
        </w:rPr>
        <w:t>Wykonawcy</w:t>
      </w:r>
    </w:p>
    <w:p w:rsidR="00543337" w:rsidRDefault="00543337" w:rsidP="007E668B">
      <w:pPr>
        <w:pStyle w:val="Tekstpodstawowy"/>
        <w:ind w:firstLine="567"/>
        <w:rPr>
          <w:b/>
          <w:szCs w:val="24"/>
        </w:rPr>
      </w:pPr>
    </w:p>
    <w:p w:rsidR="00543337" w:rsidRDefault="00543337" w:rsidP="008D628A">
      <w:pPr>
        <w:pStyle w:val="Tekstpodstawowy"/>
        <w:ind w:firstLine="567"/>
        <w:jc w:val="right"/>
        <w:rPr>
          <w:b/>
          <w:szCs w:val="24"/>
        </w:rPr>
      </w:pPr>
    </w:p>
    <w:sectPr w:rsidR="00543337" w:rsidSect="00F3688A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32" w:rsidRDefault="00474332" w:rsidP="00603410">
      <w:r>
        <w:separator/>
      </w:r>
    </w:p>
  </w:endnote>
  <w:endnote w:type="continuationSeparator" w:id="0">
    <w:p w:rsidR="00474332" w:rsidRDefault="00474332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32" w:rsidRDefault="00474332" w:rsidP="00603410">
      <w:r>
        <w:separator/>
      </w:r>
    </w:p>
  </w:footnote>
  <w:footnote w:type="continuationSeparator" w:id="0">
    <w:p w:rsidR="00474332" w:rsidRDefault="00474332" w:rsidP="0060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3"/>
    <w:rsid w:val="00003DEA"/>
    <w:rsid w:val="00015F06"/>
    <w:rsid w:val="00056822"/>
    <w:rsid w:val="000E12FF"/>
    <w:rsid w:val="000E62A4"/>
    <w:rsid w:val="00112253"/>
    <w:rsid w:val="00133EDB"/>
    <w:rsid w:val="00161E0C"/>
    <w:rsid w:val="001710E8"/>
    <w:rsid w:val="00185144"/>
    <w:rsid w:val="00232720"/>
    <w:rsid w:val="002A0CA3"/>
    <w:rsid w:val="002D0563"/>
    <w:rsid w:val="00353322"/>
    <w:rsid w:val="003D646C"/>
    <w:rsid w:val="004263C1"/>
    <w:rsid w:val="00467B9A"/>
    <w:rsid w:val="00474332"/>
    <w:rsid w:val="00496259"/>
    <w:rsid w:val="004D3A5C"/>
    <w:rsid w:val="00514E6B"/>
    <w:rsid w:val="00543337"/>
    <w:rsid w:val="005B49A1"/>
    <w:rsid w:val="00603410"/>
    <w:rsid w:val="00614C1B"/>
    <w:rsid w:val="00675052"/>
    <w:rsid w:val="006E603F"/>
    <w:rsid w:val="00766774"/>
    <w:rsid w:val="00794D2F"/>
    <w:rsid w:val="007E4631"/>
    <w:rsid w:val="007E668B"/>
    <w:rsid w:val="007F5929"/>
    <w:rsid w:val="008B19C0"/>
    <w:rsid w:val="008D628A"/>
    <w:rsid w:val="00914BA2"/>
    <w:rsid w:val="009975C9"/>
    <w:rsid w:val="009A4268"/>
    <w:rsid w:val="009F776F"/>
    <w:rsid w:val="00A14C66"/>
    <w:rsid w:val="00A4395E"/>
    <w:rsid w:val="00B04709"/>
    <w:rsid w:val="00B25201"/>
    <w:rsid w:val="00B96035"/>
    <w:rsid w:val="00C12036"/>
    <w:rsid w:val="00CC1B8E"/>
    <w:rsid w:val="00D301D9"/>
    <w:rsid w:val="00D34208"/>
    <w:rsid w:val="00D3644F"/>
    <w:rsid w:val="00DE1587"/>
    <w:rsid w:val="00DF631A"/>
    <w:rsid w:val="00E21BAA"/>
    <w:rsid w:val="00E82DB5"/>
    <w:rsid w:val="00EC62D7"/>
    <w:rsid w:val="00ED656F"/>
    <w:rsid w:val="00F01A75"/>
    <w:rsid w:val="00F3688A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riwan</cp:lastModifiedBy>
  <cp:revision>5</cp:revision>
  <cp:lastPrinted>2015-09-11T07:15:00Z</cp:lastPrinted>
  <dcterms:created xsi:type="dcterms:W3CDTF">2017-09-01T05:39:00Z</dcterms:created>
  <dcterms:modified xsi:type="dcterms:W3CDTF">2017-09-25T12:28:00Z</dcterms:modified>
</cp:coreProperties>
</file>