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224777D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154</w:t>
      </w:r>
      <w:r w:rsidRPr="00262141">
        <w:rPr>
          <w:rFonts w:ascii="Arial Narrow" w:hAnsi="Arial Narrow"/>
          <w:b/>
          <w:bCs/>
          <w:lang w:eastAsia="zh-CN"/>
        </w:rPr>
        <w:t>/2020/</w:t>
      </w:r>
      <w:r>
        <w:rPr>
          <w:rFonts w:ascii="Arial Narrow" w:hAnsi="Arial Narrow"/>
          <w:b/>
          <w:bCs/>
          <w:lang w:eastAsia="zh-CN"/>
        </w:rPr>
        <w:t>AŁ-D</w:t>
      </w:r>
    </w:p>
    <w:p w14:paraId="49263D66" w14:textId="28CC6A62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2a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51804C3C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PAKIET NR 1</w:t>
      </w:r>
    </w:p>
    <w:p w14:paraId="61BEB217" w14:textId="7A6EC588" w:rsidR="00262141" w:rsidRPr="00257238" w:rsidRDefault="00262141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r w:rsidRPr="00257238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Aparat do izolacji materiału genetycznego metodą PCR na potrzeby wykonywania badan w kierunku SARS-CoV-2  – 1 kpl.</w:t>
      </w:r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A26981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03FBF38E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62141">
              <w:rPr>
                <w:rFonts w:ascii="Arial Narrow" w:hAnsi="Arial Narrow"/>
                <w:b/>
              </w:rPr>
              <w:t>aparatu do automatycznej izolacji i oczyszczania kwasów nukleinowych DNA/RNA z różnych próbek klinicznych pochodzenia ludzkiego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262141" w:rsidRPr="002D7F25" w14:paraId="0F882138" w14:textId="17D90AD9" w:rsidTr="00D558E0">
        <w:trPr>
          <w:trHeight w:val="826"/>
        </w:trPr>
        <w:tc>
          <w:tcPr>
            <w:tcW w:w="704" w:type="dxa"/>
            <w:vAlign w:val="center"/>
          </w:tcPr>
          <w:p w14:paraId="52975FA5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7D49E2" w14:textId="0E76F1B0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Automatyczna  stacja robocza do izolacji kwasów nukleinowych metodą opartą na kulkach magnetycznych.</w:t>
            </w:r>
          </w:p>
        </w:tc>
        <w:tc>
          <w:tcPr>
            <w:tcW w:w="1312" w:type="dxa"/>
            <w:vAlign w:val="center"/>
          </w:tcPr>
          <w:p w14:paraId="361D5B2A" w14:textId="5F53F82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C81EF9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5C9C95C" w14:textId="1FD135A5" w:rsidTr="00D558E0">
        <w:trPr>
          <w:trHeight w:val="767"/>
        </w:trPr>
        <w:tc>
          <w:tcPr>
            <w:tcW w:w="704" w:type="dxa"/>
            <w:vAlign w:val="center"/>
          </w:tcPr>
          <w:p w14:paraId="746F2B1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D4478D" w14:textId="29877A3A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Możliwość jednoczesnej izolacji kwasów nukleinowych 1-32 prób.</w:t>
            </w:r>
          </w:p>
        </w:tc>
        <w:tc>
          <w:tcPr>
            <w:tcW w:w="1312" w:type="dxa"/>
            <w:vAlign w:val="center"/>
          </w:tcPr>
          <w:p w14:paraId="55966213" w14:textId="4EF28D19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66475FF" w14:textId="030FF079" w:rsidTr="00D558E0">
        <w:trPr>
          <w:trHeight w:val="826"/>
        </w:trPr>
        <w:tc>
          <w:tcPr>
            <w:tcW w:w="704" w:type="dxa"/>
            <w:vAlign w:val="center"/>
          </w:tcPr>
          <w:p w14:paraId="393E9FCB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2862D6" w14:textId="22085779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 xml:space="preserve">Zakres regulacji temperatury modułu grzewczego: od temperatury pokojowej do 80 </w:t>
            </w:r>
            <w:r w:rsidRPr="00262141">
              <w:rPr>
                <w:rFonts w:ascii="Cambria Math" w:hAnsi="Cambria Math" w:cs="Cambria Math"/>
              </w:rPr>
              <w:t>℃</w:t>
            </w:r>
            <w:r w:rsidRPr="00262141">
              <w:rPr>
                <w:rFonts w:ascii="Arial Narrow" w:hAnsi="Arial Narrow" w:cs="Cambria Math"/>
              </w:rPr>
              <w:t>.</w:t>
            </w:r>
          </w:p>
        </w:tc>
        <w:tc>
          <w:tcPr>
            <w:tcW w:w="1312" w:type="dxa"/>
            <w:vAlign w:val="center"/>
          </w:tcPr>
          <w:p w14:paraId="1C038335" w14:textId="6730B4F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64E1556" w14:textId="46A1EDFA" w:rsidTr="00D558E0">
        <w:trPr>
          <w:trHeight w:val="826"/>
        </w:trPr>
        <w:tc>
          <w:tcPr>
            <w:tcW w:w="704" w:type="dxa"/>
            <w:vAlign w:val="center"/>
          </w:tcPr>
          <w:p w14:paraId="170F91B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55669B" w14:textId="3053F74F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Blat roboczy zawiera 2 pozycje na płytki.</w:t>
            </w:r>
          </w:p>
        </w:tc>
        <w:tc>
          <w:tcPr>
            <w:tcW w:w="1312" w:type="dxa"/>
            <w:vAlign w:val="center"/>
          </w:tcPr>
          <w:p w14:paraId="55FAA0C9" w14:textId="28C3364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14E38C" w14:textId="4B184B28" w:rsidTr="00D558E0">
        <w:trPr>
          <w:trHeight w:val="826"/>
        </w:trPr>
        <w:tc>
          <w:tcPr>
            <w:tcW w:w="704" w:type="dxa"/>
            <w:vAlign w:val="center"/>
          </w:tcPr>
          <w:p w14:paraId="502B9D9F" w14:textId="6A61A8B6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4AC92F" w14:textId="61655744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Obsługa stanowiska za pomocą kolorowego ekranu dotykowego o wielkości co najmniej 10 cali. W celu poprawienia komfortu obsługi urządzenia ekran dotykowy pochylony w stronę użytkownika.</w:t>
            </w:r>
          </w:p>
        </w:tc>
        <w:tc>
          <w:tcPr>
            <w:tcW w:w="1312" w:type="dxa"/>
            <w:vAlign w:val="center"/>
          </w:tcPr>
          <w:p w14:paraId="45649761" w14:textId="43566B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F36D65" w:rsidRPr="00262141" w:rsidRDefault="00F36D65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75D7E08" w14:textId="1944345D" w:rsidTr="00D558E0">
        <w:trPr>
          <w:trHeight w:val="826"/>
        </w:trPr>
        <w:tc>
          <w:tcPr>
            <w:tcW w:w="704" w:type="dxa"/>
            <w:vAlign w:val="center"/>
          </w:tcPr>
          <w:p w14:paraId="3AFE7036" w14:textId="6A8B94B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239D7C" w14:textId="7F61E455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Oprogramowanie umożliwiające kontrolę działania aparatu, dobór odpowiednich parametrów ekstrakcji, w tym ustawienie objętości, czasu i szybkości mieszania (poziom 1-3), czasu namagnesowania, czasu lizy, czasu i temperatury elucji.</w:t>
            </w:r>
          </w:p>
        </w:tc>
        <w:tc>
          <w:tcPr>
            <w:tcW w:w="1312" w:type="dxa"/>
            <w:vAlign w:val="center"/>
          </w:tcPr>
          <w:p w14:paraId="6A4D57EA" w14:textId="0555DA6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CDBFBEF" w14:textId="68E638F8" w:rsidTr="00D558E0">
        <w:trPr>
          <w:trHeight w:val="826"/>
        </w:trPr>
        <w:tc>
          <w:tcPr>
            <w:tcW w:w="704" w:type="dxa"/>
            <w:vAlign w:val="center"/>
          </w:tcPr>
          <w:p w14:paraId="206A32AD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A16F96" w14:textId="07D1C8FD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Wbudowana lampa UV do dekontaminacji blatu roboczego. Możliwość wyboru czasu dekontaminacji.</w:t>
            </w:r>
          </w:p>
          <w:p w14:paraId="2526CEE5" w14:textId="16183A00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W przypadku otwarcia drzwiczek instrumentu podczas dekontaminacji lampa UV automatycznie wyłącza się. Po ponownym zamknięciu  drzwiczek praca lamy UV zostaje wznowiona o pozostały czas dekontaminacji.</w:t>
            </w:r>
          </w:p>
        </w:tc>
        <w:tc>
          <w:tcPr>
            <w:tcW w:w="1312" w:type="dxa"/>
            <w:vAlign w:val="center"/>
          </w:tcPr>
          <w:p w14:paraId="13762E4A" w14:textId="3CF19A3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609A330B" w14:textId="0931C019" w:rsidTr="00D558E0">
        <w:trPr>
          <w:trHeight w:val="826"/>
        </w:trPr>
        <w:tc>
          <w:tcPr>
            <w:tcW w:w="704" w:type="dxa"/>
            <w:vAlign w:val="center"/>
          </w:tcPr>
          <w:p w14:paraId="7E5CEA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982397" w14:textId="2C266D5E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Stacja wyposażona w co najmniej 1 port USB.</w:t>
            </w:r>
          </w:p>
        </w:tc>
        <w:tc>
          <w:tcPr>
            <w:tcW w:w="1312" w:type="dxa"/>
            <w:vAlign w:val="center"/>
          </w:tcPr>
          <w:p w14:paraId="54B77860" w14:textId="394EA75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916E7BA" w14:textId="13926CBA" w:rsidTr="00D558E0">
        <w:trPr>
          <w:trHeight w:val="826"/>
        </w:trPr>
        <w:tc>
          <w:tcPr>
            <w:tcW w:w="704" w:type="dxa"/>
            <w:vAlign w:val="center"/>
          </w:tcPr>
          <w:p w14:paraId="16A5090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76DAA" w14:textId="160BA320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Możliwość izolacji kwasów nukleinowych z prób o objętości od 50~1000 μL.</w:t>
            </w:r>
          </w:p>
        </w:tc>
        <w:tc>
          <w:tcPr>
            <w:tcW w:w="1312" w:type="dxa"/>
            <w:vAlign w:val="center"/>
          </w:tcPr>
          <w:p w14:paraId="02D031A9" w14:textId="2301498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320569" w14:textId="0D926B88" w:rsidTr="00D558E0">
        <w:trPr>
          <w:trHeight w:val="826"/>
        </w:trPr>
        <w:tc>
          <w:tcPr>
            <w:tcW w:w="704" w:type="dxa"/>
            <w:vAlign w:val="center"/>
          </w:tcPr>
          <w:p w14:paraId="3EC4A3A9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7631D" w14:textId="5A445300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Pamięć na minimum 20 programów z możliwością edytowania programów.</w:t>
            </w:r>
          </w:p>
        </w:tc>
        <w:tc>
          <w:tcPr>
            <w:tcW w:w="1312" w:type="dxa"/>
            <w:vAlign w:val="center"/>
          </w:tcPr>
          <w:p w14:paraId="13D3D738" w14:textId="128ECAE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684A938" w14:textId="742E81A2" w:rsidTr="00D558E0">
        <w:trPr>
          <w:trHeight w:val="826"/>
        </w:trPr>
        <w:tc>
          <w:tcPr>
            <w:tcW w:w="704" w:type="dxa"/>
            <w:vAlign w:val="center"/>
          </w:tcPr>
          <w:p w14:paraId="7E0657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C5DBB" w14:textId="0ED20B02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Całkowity czas izolacji wirusowych kwasów nukleinowych nie przekracza 25 minut.</w:t>
            </w:r>
          </w:p>
        </w:tc>
        <w:tc>
          <w:tcPr>
            <w:tcW w:w="1312" w:type="dxa"/>
            <w:vAlign w:val="center"/>
          </w:tcPr>
          <w:p w14:paraId="723464A8" w14:textId="004D76B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19B18AF" w14:textId="4CF53E0E" w:rsidTr="00D558E0">
        <w:trPr>
          <w:trHeight w:val="826"/>
        </w:trPr>
        <w:tc>
          <w:tcPr>
            <w:tcW w:w="704" w:type="dxa"/>
            <w:vAlign w:val="center"/>
          </w:tcPr>
          <w:p w14:paraId="5A5CC4D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F7B9AE" w14:textId="27AB18B6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Proces izolacji wirusowych kwasów nukleinowych składa się z minimum 6 etapów (z możliwością dodania kolejnych etapów w celu uzyskania większych koncentracji materiału genetycznego). Na ekranie instrumentu możliwość podglądu aktualnego etapu izolacji.</w:t>
            </w:r>
          </w:p>
        </w:tc>
        <w:tc>
          <w:tcPr>
            <w:tcW w:w="1312" w:type="dxa"/>
            <w:vAlign w:val="center"/>
          </w:tcPr>
          <w:p w14:paraId="17E64921" w14:textId="32249F41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6612E42" w14:textId="67E32AFB" w:rsidTr="00D558E0">
        <w:trPr>
          <w:trHeight w:val="826"/>
        </w:trPr>
        <w:tc>
          <w:tcPr>
            <w:tcW w:w="704" w:type="dxa"/>
            <w:vAlign w:val="center"/>
          </w:tcPr>
          <w:p w14:paraId="53F96820" w14:textId="745AFE2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1C6526" w14:textId="40FB580B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Możliwość przerwania i wznowienia procesu izolacji bez utraty odczynników.</w:t>
            </w:r>
          </w:p>
        </w:tc>
        <w:tc>
          <w:tcPr>
            <w:tcW w:w="1312" w:type="dxa"/>
            <w:vAlign w:val="center"/>
          </w:tcPr>
          <w:p w14:paraId="5051EB07" w14:textId="297AF54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0F4BC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1C372BE5" w14:textId="17F4E6A6" w:rsidTr="00D558E0">
        <w:trPr>
          <w:trHeight w:val="826"/>
        </w:trPr>
        <w:tc>
          <w:tcPr>
            <w:tcW w:w="704" w:type="dxa"/>
            <w:vAlign w:val="center"/>
          </w:tcPr>
          <w:p w14:paraId="49387072" w14:textId="25122669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E906C" w14:textId="3AF6753C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Instrument posiada certyfikat CE IVD.</w:t>
            </w:r>
          </w:p>
        </w:tc>
        <w:tc>
          <w:tcPr>
            <w:tcW w:w="1312" w:type="dxa"/>
            <w:vAlign w:val="center"/>
          </w:tcPr>
          <w:p w14:paraId="601F46A2" w14:textId="21E639D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9411B5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AC0E6B4" w14:textId="41C29273" w:rsidTr="00D558E0">
        <w:trPr>
          <w:trHeight w:val="864"/>
        </w:trPr>
        <w:tc>
          <w:tcPr>
            <w:tcW w:w="704" w:type="dxa"/>
            <w:vAlign w:val="center"/>
          </w:tcPr>
          <w:p w14:paraId="0B9BAD90" w14:textId="0A20D8D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5E17B8" w14:textId="71EBA63B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Waga instrumentu do izolacji kwasów nukleinowych nie większa niż 25 kg.</w:t>
            </w:r>
          </w:p>
        </w:tc>
        <w:tc>
          <w:tcPr>
            <w:tcW w:w="1312" w:type="dxa"/>
            <w:vAlign w:val="center"/>
          </w:tcPr>
          <w:p w14:paraId="457758C3" w14:textId="5BC42C05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079284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1B4EF8D" w14:textId="4F0CA135" w:rsidTr="00D558E0">
        <w:trPr>
          <w:trHeight w:val="826"/>
        </w:trPr>
        <w:tc>
          <w:tcPr>
            <w:tcW w:w="704" w:type="dxa"/>
            <w:vAlign w:val="center"/>
          </w:tcPr>
          <w:p w14:paraId="06DD9942" w14:textId="0085439C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C52338" w14:textId="77777777" w:rsidR="0012669D" w:rsidRDefault="0012669D" w:rsidP="0012669D">
            <w:pPr>
              <w:rPr>
                <w:rFonts w:ascii="Arial Narrow" w:hAnsi="Arial Narrow"/>
              </w:rPr>
            </w:pPr>
          </w:p>
          <w:p w14:paraId="665551AE" w14:textId="77777777" w:rsidR="0012669D" w:rsidRDefault="0012669D" w:rsidP="0012669D">
            <w:pPr>
              <w:rPr>
                <w:rFonts w:ascii="Arial Narrow" w:hAnsi="Arial Narrow"/>
              </w:rPr>
            </w:pPr>
          </w:p>
          <w:p w14:paraId="47C38DDF" w14:textId="5FE4C48D" w:rsidR="00262141" w:rsidRDefault="00262141" w:rsidP="0012669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Instrument nie większy niż 40 cm ×42 cm× 44 cm.</w:t>
            </w:r>
          </w:p>
          <w:p w14:paraId="4499FBA7" w14:textId="77777777" w:rsidR="0012669D" w:rsidRDefault="0012669D" w:rsidP="0012669D">
            <w:pPr>
              <w:rPr>
                <w:rFonts w:ascii="Arial Narrow" w:hAnsi="Arial Narrow"/>
              </w:rPr>
            </w:pPr>
          </w:p>
          <w:p w14:paraId="25253570" w14:textId="77777777" w:rsidR="0012669D" w:rsidRDefault="0012669D" w:rsidP="00383C1D">
            <w:pPr>
              <w:rPr>
                <w:rFonts w:ascii="Arial Narrow" w:hAnsi="Arial Narrow"/>
              </w:rPr>
            </w:pPr>
          </w:p>
          <w:p w14:paraId="7E4D2C99" w14:textId="544639D3" w:rsidR="0012669D" w:rsidRPr="00262141" w:rsidRDefault="0012669D" w:rsidP="00383C1D">
            <w:pPr>
              <w:rPr>
                <w:rFonts w:ascii="Arial Narrow" w:hAnsi="Arial Narrow"/>
              </w:rPr>
            </w:pPr>
          </w:p>
        </w:tc>
        <w:tc>
          <w:tcPr>
            <w:tcW w:w="1312" w:type="dxa"/>
            <w:vAlign w:val="center"/>
          </w:tcPr>
          <w:p w14:paraId="777BE785" w14:textId="692D0A6F" w:rsidR="00262141" w:rsidRPr="00262141" w:rsidRDefault="0012669D" w:rsidP="00383C1D">
            <w:pPr>
              <w:jc w:val="center"/>
              <w:rPr>
                <w:rFonts w:ascii="Arial Narrow" w:hAnsi="Arial Narrow"/>
              </w:rPr>
            </w:pPr>
            <w:r w:rsidRPr="0012669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291477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D558E0" w:rsidRPr="006E7BA4" w14:paraId="274EE8DF" w14:textId="44BBE272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76EB1756" w14:textId="5B5693BA" w:rsidR="00D558E0" w:rsidRPr="00262141" w:rsidRDefault="00D558E0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Zestawy do izolacji wirusowych kwasów nukleinowych</w:t>
            </w:r>
          </w:p>
        </w:tc>
      </w:tr>
      <w:tr w:rsidR="00262141" w:rsidRPr="001C6424" w14:paraId="2292EE2E" w14:textId="33EB3BF9" w:rsidTr="00D558E0">
        <w:trPr>
          <w:trHeight w:val="826"/>
        </w:trPr>
        <w:tc>
          <w:tcPr>
            <w:tcW w:w="704" w:type="dxa"/>
            <w:vAlign w:val="center"/>
          </w:tcPr>
          <w:p w14:paraId="32DB42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4536" w:type="dxa"/>
            <w:vAlign w:val="center"/>
          </w:tcPr>
          <w:p w14:paraId="7BC72993" w14:textId="025E62BC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Zestawy posiadają pełną walidację Producenta z oferowanym urządzeniem.</w:t>
            </w:r>
          </w:p>
        </w:tc>
        <w:tc>
          <w:tcPr>
            <w:tcW w:w="1312" w:type="dxa"/>
            <w:vAlign w:val="center"/>
          </w:tcPr>
          <w:p w14:paraId="24F87556" w14:textId="29CF0E0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268918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8E88709" w14:textId="60A2D7BB" w:rsidTr="00D558E0">
        <w:trPr>
          <w:trHeight w:val="767"/>
        </w:trPr>
        <w:tc>
          <w:tcPr>
            <w:tcW w:w="704" w:type="dxa"/>
            <w:vAlign w:val="center"/>
          </w:tcPr>
          <w:p w14:paraId="79C8254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  <w:vAlign w:val="center"/>
          </w:tcPr>
          <w:p w14:paraId="0E4A7148" w14:textId="4A670FA5" w:rsidR="00262141" w:rsidRPr="00262141" w:rsidRDefault="00262141" w:rsidP="00383C1D">
            <w:pPr>
              <w:rPr>
                <w:rFonts w:ascii="Arial Narrow" w:hAnsi="Arial Narrow"/>
                <w:highlight w:val="yellow"/>
              </w:rPr>
            </w:pPr>
            <w:r w:rsidRPr="00262141">
              <w:rPr>
                <w:rFonts w:ascii="Arial Narrow" w:hAnsi="Arial Narrow"/>
              </w:rPr>
              <w:t>Zestaw umożliwiający izolację wirusowych kwasów nukleinowych DNA/RNA z materiału: surowica, osocze, krew pełna, homogenizaty tkanek, ślina, wymazy.</w:t>
            </w:r>
          </w:p>
        </w:tc>
        <w:tc>
          <w:tcPr>
            <w:tcW w:w="1312" w:type="dxa"/>
            <w:vAlign w:val="center"/>
          </w:tcPr>
          <w:p w14:paraId="02A802F0" w14:textId="52014A3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23B00E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18E2A35E" w14:textId="0C9F0500" w:rsidTr="00D558E0">
        <w:trPr>
          <w:trHeight w:val="767"/>
        </w:trPr>
        <w:tc>
          <w:tcPr>
            <w:tcW w:w="704" w:type="dxa"/>
            <w:vAlign w:val="center"/>
          </w:tcPr>
          <w:p w14:paraId="38944954" w14:textId="6B379B2B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  <w:vAlign w:val="center"/>
          </w:tcPr>
          <w:p w14:paraId="2BCDFFFF" w14:textId="5595C039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Jeden zestaw zawiera odczynniki i materiały zużywalne pozwalające na przeprowadzenie 32 izolacji.</w:t>
            </w:r>
          </w:p>
        </w:tc>
        <w:tc>
          <w:tcPr>
            <w:tcW w:w="1312" w:type="dxa"/>
            <w:vAlign w:val="center"/>
          </w:tcPr>
          <w:p w14:paraId="53E0AF02" w14:textId="74DFE1A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B8F8B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7C3D771A" w14:textId="5CE28218" w:rsidTr="00D558E0">
        <w:trPr>
          <w:trHeight w:val="826"/>
        </w:trPr>
        <w:tc>
          <w:tcPr>
            <w:tcW w:w="704" w:type="dxa"/>
            <w:vAlign w:val="center"/>
          </w:tcPr>
          <w:p w14:paraId="6B9140BB" w14:textId="32CA0B0B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  <w:vAlign w:val="center"/>
          </w:tcPr>
          <w:p w14:paraId="3E6D2551" w14:textId="3A75CC4B" w:rsidR="00262141" w:rsidRPr="00262141" w:rsidRDefault="00262141" w:rsidP="00383C1D">
            <w:pPr>
              <w:rPr>
                <w:rFonts w:ascii="Arial Narrow" w:hAnsi="Arial Narrow"/>
                <w:highlight w:val="yellow"/>
              </w:rPr>
            </w:pPr>
            <w:r w:rsidRPr="00262141">
              <w:rPr>
                <w:rFonts w:ascii="Arial Narrow" w:hAnsi="Arial Narrow"/>
              </w:rPr>
              <w:t>W skład zestawu wchodzą wszystkie niezbędne odczynniki i materiały zużywalne potrzebne do wykonania ekstrakcji, tj.: proteinaza K, dwie płytki ekstrakcyjne wypełnione odpowiednimi odczynnikami, a także osłonki pręcików magnetycznych.</w:t>
            </w:r>
          </w:p>
        </w:tc>
        <w:tc>
          <w:tcPr>
            <w:tcW w:w="1312" w:type="dxa"/>
            <w:vAlign w:val="center"/>
          </w:tcPr>
          <w:p w14:paraId="2FD916F7" w14:textId="645C218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8A5B09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E12C587" w14:textId="0774F4A4" w:rsidTr="00D558E0">
        <w:trPr>
          <w:trHeight w:val="826"/>
        </w:trPr>
        <w:tc>
          <w:tcPr>
            <w:tcW w:w="704" w:type="dxa"/>
            <w:vAlign w:val="center"/>
          </w:tcPr>
          <w:p w14:paraId="694221AF" w14:textId="5204B7D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  <w:vAlign w:val="center"/>
          </w:tcPr>
          <w:p w14:paraId="2913222C" w14:textId="542B3F39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Zestaw umożliwia przeprowadzenie dwóch protokołów izolacji: procedury 6 etapowej oraz procedury 8 etapowej.</w:t>
            </w:r>
          </w:p>
        </w:tc>
        <w:tc>
          <w:tcPr>
            <w:tcW w:w="1312" w:type="dxa"/>
            <w:vAlign w:val="center"/>
          </w:tcPr>
          <w:p w14:paraId="20B064E4" w14:textId="187ECC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CD9F24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1C6424" w14:paraId="58BE7ADB" w14:textId="402F3D58" w:rsidTr="00D558E0">
        <w:trPr>
          <w:trHeight w:val="826"/>
        </w:trPr>
        <w:tc>
          <w:tcPr>
            <w:tcW w:w="704" w:type="dxa"/>
            <w:vAlign w:val="center"/>
          </w:tcPr>
          <w:p w14:paraId="5D0F291D" w14:textId="18126CFD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6.</w:t>
            </w:r>
          </w:p>
        </w:tc>
        <w:tc>
          <w:tcPr>
            <w:tcW w:w="4536" w:type="dxa"/>
            <w:vAlign w:val="center"/>
          </w:tcPr>
          <w:p w14:paraId="29A9235D" w14:textId="32ABAF82" w:rsidR="00262141" w:rsidRPr="00262141" w:rsidRDefault="00262141" w:rsidP="00383C1D">
            <w:pPr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Zestaw  posiada znak CE IVD do diagnostyki medycznej in vitro potwierdzony deklaracją zgodności.</w:t>
            </w:r>
          </w:p>
        </w:tc>
        <w:tc>
          <w:tcPr>
            <w:tcW w:w="1312" w:type="dxa"/>
            <w:vAlign w:val="center"/>
          </w:tcPr>
          <w:p w14:paraId="71965E4C" w14:textId="35AE2F87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F5126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4990CCFD" w14:textId="77777777" w:rsidR="00F36D65" w:rsidRDefault="00F36D65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F490" w14:textId="77777777" w:rsidR="0041199D" w:rsidRDefault="0041199D" w:rsidP="003A6CB4">
      <w:pPr>
        <w:spacing w:after="0" w:line="240" w:lineRule="auto"/>
      </w:pPr>
      <w:r>
        <w:separator/>
      </w:r>
    </w:p>
  </w:endnote>
  <w:endnote w:type="continuationSeparator" w:id="0">
    <w:p w14:paraId="5F1BE40F" w14:textId="77777777" w:rsidR="0041199D" w:rsidRDefault="0041199D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297C" w14:textId="77777777" w:rsidR="0041199D" w:rsidRDefault="0041199D" w:rsidP="003A6CB4">
      <w:pPr>
        <w:spacing w:after="0" w:line="240" w:lineRule="auto"/>
      </w:pPr>
      <w:r>
        <w:separator/>
      </w:r>
    </w:p>
  </w:footnote>
  <w:footnote w:type="continuationSeparator" w:id="0">
    <w:p w14:paraId="424C531F" w14:textId="77777777" w:rsidR="0041199D" w:rsidRDefault="0041199D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7CCE" w14:textId="44836AB2" w:rsidR="00262141" w:rsidRPr="00262141" w:rsidRDefault="00262141" w:rsidP="00262141">
    <w:pPr>
      <w:widowControl w:val="0"/>
      <w:autoSpaceDE w:val="0"/>
      <w:rPr>
        <w:rFonts w:eastAsia="Lucida Sans Unicode" w:cs="Arial"/>
        <w:b/>
        <w:i/>
        <w:sz w:val="18"/>
        <w:szCs w:val="18"/>
      </w:rPr>
    </w:pP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493CFD7D" wp14:editId="43D586B7">
          <wp:extent cx="1028700" cy="4286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19E004E" wp14:editId="557EAAC5">
          <wp:extent cx="1400175" cy="42862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76A19E9" wp14:editId="3C70F163">
          <wp:extent cx="942975" cy="428625"/>
          <wp:effectExtent l="0" t="0" r="952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53E9329D" wp14:editId="34478E19">
          <wp:extent cx="1457325" cy="428625"/>
          <wp:effectExtent l="0" t="0" r="9525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7D7D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6050673D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Oś priorytetowa VII Sprawne usługi publiczne, Działanie 7.3 Infrastruktura zdrowotna i społeczna</w:t>
    </w:r>
  </w:p>
  <w:p w14:paraId="07956CF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</w:p>
  <w:p w14:paraId="0A824FD2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</w:t>
    </w:r>
  </w:p>
  <w:p w14:paraId="4509D406" w14:textId="00A0FC72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bCs/>
        <w:i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„Rozbudowa i doposażenie na potrzeby Kliniki Kardiochirurgii Wojewódzkiego Szpitala Zespolonego w Kielcach”</w:t>
    </w:r>
  </w:p>
  <w:p w14:paraId="1AF8CECD" w14:textId="77777777" w:rsidR="00262141" w:rsidRPr="00262141" w:rsidRDefault="00262141" w:rsidP="0026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C50AB"/>
    <w:rsid w:val="001C6424"/>
    <w:rsid w:val="00201DFC"/>
    <w:rsid w:val="00257238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E2635"/>
    <w:rsid w:val="008E5E83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839D5"/>
    <w:rsid w:val="00A841FA"/>
    <w:rsid w:val="00AF77CD"/>
    <w:rsid w:val="00B35898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6</cp:revision>
  <dcterms:created xsi:type="dcterms:W3CDTF">2020-10-29T10:54:00Z</dcterms:created>
  <dcterms:modified xsi:type="dcterms:W3CDTF">2020-11-03T09:04:00Z</dcterms:modified>
</cp:coreProperties>
</file>