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1FEE89C0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>
        <w:rPr>
          <w:rFonts w:ascii="Arial Narrow" w:hAnsi="Arial Narrow"/>
          <w:b/>
          <w:bCs/>
          <w:lang w:eastAsia="zh-CN"/>
        </w:rPr>
        <w:t>1</w:t>
      </w:r>
      <w:r w:rsidR="007175D7">
        <w:rPr>
          <w:rFonts w:ascii="Arial Narrow" w:hAnsi="Arial Narrow"/>
          <w:b/>
          <w:bCs/>
          <w:lang w:eastAsia="zh-CN"/>
        </w:rPr>
        <w:t>85</w:t>
      </w:r>
      <w:r w:rsidRPr="00262141">
        <w:rPr>
          <w:rFonts w:ascii="Arial Narrow" w:hAnsi="Arial Narrow"/>
          <w:b/>
          <w:bCs/>
          <w:lang w:eastAsia="zh-CN"/>
        </w:rPr>
        <w:t>/2020/</w:t>
      </w:r>
      <w:r>
        <w:rPr>
          <w:rFonts w:ascii="Arial Narrow" w:hAnsi="Arial Narrow"/>
          <w:b/>
          <w:bCs/>
          <w:lang w:eastAsia="zh-CN"/>
        </w:rPr>
        <w:t>AŁ-D</w:t>
      </w:r>
    </w:p>
    <w:p w14:paraId="49263D66" w14:textId="60D4FF44" w:rsidR="00262141" w:rsidRPr="00F9192E" w:rsidRDefault="00262141" w:rsidP="00F9192E">
      <w:pPr>
        <w:spacing w:after="0" w:line="240" w:lineRule="auto"/>
        <w:jc w:val="right"/>
        <w:rPr>
          <w:rFonts w:ascii="Arial Narrow" w:hAnsi="Arial Narrow"/>
          <w:b/>
        </w:rPr>
      </w:pPr>
      <w:r w:rsidRPr="00F9192E">
        <w:rPr>
          <w:rFonts w:ascii="Arial Narrow" w:hAnsi="Arial Narrow"/>
          <w:b/>
        </w:rPr>
        <w:t>Załącznik nr 2 do SIWZ</w:t>
      </w:r>
    </w:p>
    <w:p w14:paraId="4FE27833" w14:textId="1D2741C0" w:rsidR="00262141" w:rsidRPr="00F9192E" w:rsidRDefault="00262141" w:rsidP="00F9192E">
      <w:pPr>
        <w:spacing w:after="0" w:line="240" w:lineRule="auto"/>
        <w:jc w:val="right"/>
        <w:rPr>
          <w:rFonts w:ascii="Arial Narrow" w:hAnsi="Arial Narrow"/>
          <w:b/>
        </w:rPr>
      </w:pPr>
      <w:r w:rsidRPr="00F9192E">
        <w:rPr>
          <w:rFonts w:ascii="Arial Narrow" w:hAnsi="Arial Narrow"/>
          <w:b/>
        </w:rPr>
        <w:t>Załącznik nr 1 do umowy</w:t>
      </w:r>
    </w:p>
    <w:p w14:paraId="3E2A2248" w14:textId="77777777" w:rsidR="00262141" w:rsidRPr="00F9192E" w:rsidRDefault="00262141" w:rsidP="00F9192E">
      <w:pPr>
        <w:spacing w:after="0"/>
        <w:jc w:val="center"/>
        <w:rPr>
          <w:rFonts w:ascii="Arial Narrow" w:hAnsi="Arial Narrow"/>
          <w:b/>
        </w:rPr>
      </w:pPr>
      <w:r w:rsidRPr="00F9192E">
        <w:rPr>
          <w:rFonts w:ascii="Arial Narrow" w:hAnsi="Arial Narrow"/>
          <w:b/>
        </w:rPr>
        <w:t>OPIS PRZEDMIOTU ZAMÓWIENIA</w:t>
      </w:r>
    </w:p>
    <w:p w14:paraId="1150E404" w14:textId="3B28734F" w:rsidR="00383C1D" w:rsidRDefault="00262141" w:rsidP="00F9192E">
      <w:pPr>
        <w:spacing w:after="0"/>
        <w:jc w:val="center"/>
        <w:rPr>
          <w:rFonts w:ascii="Arial Narrow" w:hAnsi="Arial Narrow"/>
          <w:b/>
        </w:rPr>
      </w:pPr>
      <w:r w:rsidRPr="00F9192E">
        <w:rPr>
          <w:rFonts w:ascii="Arial Narrow" w:hAnsi="Arial Narrow"/>
          <w:b/>
        </w:rPr>
        <w:t>(Wymagane parametry techniczno-funkcjonalne</w:t>
      </w:r>
    </w:p>
    <w:p w14:paraId="19DC83AE" w14:textId="77777777" w:rsidR="00F9192E" w:rsidRPr="00F9192E" w:rsidRDefault="00F9192E" w:rsidP="00F9192E">
      <w:pPr>
        <w:spacing w:after="0"/>
        <w:jc w:val="center"/>
        <w:rPr>
          <w:rFonts w:ascii="Arial Narrow" w:hAnsi="Arial Narrow"/>
          <w:b/>
        </w:rPr>
      </w:pPr>
    </w:p>
    <w:p w14:paraId="3FBD0547" w14:textId="4ACD9A16" w:rsidR="00262141" w:rsidRPr="00F9192E" w:rsidRDefault="00262141" w:rsidP="00F9192E">
      <w:pPr>
        <w:widowControl w:val="0"/>
        <w:shd w:val="clear" w:color="auto" w:fill="FFFFFF"/>
        <w:suppressAutoHyphens/>
        <w:spacing w:after="0" w:line="250" w:lineRule="exact"/>
        <w:jc w:val="center"/>
        <w:rPr>
          <w:rFonts w:ascii="Arial Narrow" w:hAnsi="Arial Narrow"/>
          <w:b/>
          <w:u w:val="single"/>
        </w:rPr>
      </w:pPr>
      <w:r w:rsidRPr="00F9192E">
        <w:rPr>
          <w:rFonts w:ascii="Arial Narrow" w:hAnsi="Arial Narrow"/>
          <w:b/>
          <w:u w:val="single"/>
        </w:rPr>
        <w:t xml:space="preserve">PAKIET NR </w:t>
      </w:r>
      <w:r w:rsidR="007175D7" w:rsidRPr="00F9192E">
        <w:rPr>
          <w:rFonts w:ascii="Arial Narrow" w:hAnsi="Arial Narrow"/>
          <w:b/>
          <w:u w:val="single"/>
        </w:rPr>
        <w:t>1</w:t>
      </w:r>
    </w:p>
    <w:p w14:paraId="61863590" w14:textId="2D5F7C44" w:rsidR="00F36D65" w:rsidRPr="00F9192E" w:rsidRDefault="00090B75" w:rsidP="007175D7">
      <w:pPr>
        <w:widowControl w:val="0"/>
        <w:shd w:val="clear" w:color="auto" w:fill="FFFFFF"/>
        <w:suppressAutoHyphens/>
        <w:spacing w:after="0" w:line="250" w:lineRule="exact"/>
        <w:jc w:val="center"/>
        <w:rPr>
          <w:rFonts w:ascii="Arial Narrow" w:eastAsia="Calibri" w:hAnsi="Arial Narrow" w:cs="Times New Roman"/>
          <w:b/>
          <w:bCs/>
          <w:iCs/>
          <w:lang w:val="en-GB"/>
        </w:rPr>
      </w:pP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Aparat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do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amplifikacji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materiału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genetycznego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metodą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PCR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na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potrzeby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wykonywania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badań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w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kierunku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 xml:space="preserve"> SARS-CoV-2  – 1 </w:t>
      </w:r>
      <w:proofErr w:type="spellStart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kpl</w:t>
      </w:r>
      <w:proofErr w:type="spellEnd"/>
      <w:r w:rsidRPr="00F9192E">
        <w:rPr>
          <w:rFonts w:ascii="Arial Narrow" w:eastAsia="Calibri" w:hAnsi="Arial Narrow" w:cs="Times New Roman"/>
          <w:b/>
          <w:bCs/>
          <w:iCs/>
          <w:lang w:val="en-GB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30"/>
        <w:gridCol w:w="4025"/>
        <w:gridCol w:w="1283"/>
        <w:gridCol w:w="2471"/>
      </w:tblGrid>
      <w:tr w:rsidR="00383C1D" w:rsidRPr="006E7BA4" w14:paraId="2D7433DE" w14:textId="77777777" w:rsidTr="003728FE">
        <w:trPr>
          <w:trHeight w:val="435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3728FE">
        <w:trPr>
          <w:trHeight w:val="435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3728FE">
        <w:trPr>
          <w:trHeight w:val="435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A26981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3728FE">
        <w:trPr>
          <w:trHeight w:val="435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6BBC1CA" w14:textId="03FBF38E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62141">
              <w:rPr>
                <w:rFonts w:ascii="Arial Narrow" w:hAnsi="Arial Narrow"/>
                <w:b/>
              </w:rPr>
              <w:t>aparatu do automatycznej izolacji i oczyszczania kwasów nukleinowych DNA/RNA z różnych próbek klinicznych pochodzenia ludzkiego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262141" w:rsidRPr="002D7F25" w14:paraId="0F882138" w14:textId="17D90AD9" w:rsidTr="003728FE">
        <w:trPr>
          <w:trHeight w:val="826"/>
        </w:trPr>
        <w:tc>
          <w:tcPr>
            <w:tcW w:w="1430" w:type="dxa"/>
            <w:vAlign w:val="center"/>
          </w:tcPr>
          <w:p w14:paraId="52975FA5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67D49E2" w14:textId="77B23CF4" w:rsidR="00262141" w:rsidRPr="00262141" w:rsidRDefault="00090B75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>ystem przeznaczony do ilościowej analizy stężenia DNA i RNA, oznaczania ładunku wirusów</w:t>
            </w:r>
          </w:p>
        </w:tc>
        <w:tc>
          <w:tcPr>
            <w:tcW w:w="1283" w:type="dxa"/>
            <w:vAlign w:val="center"/>
          </w:tcPr>
          <w:p w14:paraId="361D5B2A" w14:textId="5F53F82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C81EF9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5C9C95C" w14:textId="1FD135A5" w:rsidTr="003728FE">
        <w:trPr>
          <w:trHeight w:val="767"/>
        </w:trPr>
        <w:tc>
          <w:tcPr>
            <w:tcW w:w="1430" w:type="dxa"/>
            <w:vAlign w:val="center"/>
          </w:tcPr>
          <w:p w14:paraId="746F2B1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2.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7D4478D" w14:textId="2A16DB76" w:rsidR="00262141" w:rsidRPr="00262141" w:rsidRDefault="00090B75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>ystem multipleksowy, 6-kanałowy, nie wymaga stosowania barwnika referencyjnego</w:t>
            </w:r>
          </w:p>
        </w:tc>
        <w:tc>
          <w:tcPr>
            <w:tcW w:w="1283" w:type="dxa"/>
            <w:vAlign w:val="center"/>
          </w:tcPr>
          <w:p w14:paraId="55966213" w14:textId="4EF28D19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803C10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66475FF" w14:textId="030FF079" w:rsidTr="003728FE">
        <w:trPr>
          <w:trHeight w:val="826"/>
        </w:trPr>
        <w:tc>
          <w:tcPr>
            <w:tcW w:w="1430" w:type="dxa"/>
            <w:vAlign w:val="center"/>
          </w:tcPr>
          <w:p w14:paraId="393E9FCB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3.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659F300" w14:textId="49B21EBC" w:rsidR="00090B75" w:rsidRPr="00090B75" w:rsidRDefault="00090B75" w:rsidP="0009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 xml:space="preserve">ystem umożliwia całkowite ujednolicenie wyników analiz w każdej probówce poprzez homogenność warunków panujących w komorze reakcyjnej dzięki umieszczaniu probówek </w:t>
            </w:r>
          </w:p>
          <w:p w14:paraId="362862D6" w14:textId="63CC1034" w:rsidR="00262141" w:rsidRPr="00262141" w:rsidRDefault="00090B75" w:rsidP="00090B75">
            <w:pPr>
              <w:rPr>
                <w:rFonts w:ascii="Arial Narrow" w:hAnsi="Arial Narrow"/>
              </w:rPr>
            </w:pPr>
            <w:r w:rsidRPr="00090B75">
              <w:rPr>
                <w:rFonts w:ascii="Arial Narrow" w:hAnsi="Arial Narrow"/>
              </w:rPr>
              <w:t>w rotorze</w:t>
            </w:r>
          </w:p>
        </w:tc>
        <w:tc>
          <w:tcPr>
            <w:tcW w:w="1283" w:type="dxa"/>
            <w:vAlign w:val="center"/>
          </w:tcPr>
          <w:p w14:paraId="1C038335" w14:textId="6730B4F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158912C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64E1556" w14:textId="46A1EDFA" w:rsidTr="003728FE">
        <w:trPr>
          <w:trHeight w:val="826"/>
        </w:trPr>
        <w:tc>
          <w:tcPr>
            <w:tcW w:w="1430" w:type="dxa"/>
            <w:vAlign w:val="center"/>
          </w:tcPr>
          <w:p w14:paraId="170F91B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4.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B55669B" w14:textId="4A5C70E8" w:rsidR="00262141" w:rsidRPr="00262141" w:rsidRDefault="00090B75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>ystem charakteryzuje się stałą wielkością drogi optycznej między źródłem światła i detektorem</w:t>
            </w:r>
          </w:p>
        </w:tc>
        <w:tc>
          <w:tcPr>
            <w:tcW w:w="1283" w:type="dxa"/>
            <w:vAlign w:val="center"/>
          </w:tcPr>
          <w:p w14:paraId="55FAA0C9" w14:textId="28C3364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D337B9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14E38C" w14:textId="4B184B28" w:rsidTr="003728FE">
        <w:trPr>
          <w:trHeight w:val="957"/>
        </w:trPr>
        <w:tc>
          <w:tcPr>
            <w:tcW w:w="1430" w:type="dxa"/>
            <w:vAlign w:val="center"/>
          </w:tcPr>
          <w:p w14:paraId="502B9D9F" w14:textId="6A61A8B6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5.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44AC92F" w14:textId="43D9D33B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Ź</w:t>
            </w:r>
            <w:r w:rsidR="00090B75" w:rsidRPr="00090B75">
              <w:rPr>
                <w:rFonts w:ascii="Arial Narrow" w:hAnsi="Arial Narrow"/>
              </w:rPr>
              <w:t>ródło wzbudzenia: diody LED</w:t>
            </w:r>
          </w:p>
        </w:tc>
        <w:tc>
          <w:tcPr>
            <w:tcW w:w="1283" w:type="dxa"/>
            <w:vAlign w:val="center"/>
          </w:tcPr>
          <w:p w14:paraId="45649761" w14:textId="43566B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0737CD1" w14:textId="77777777" w:rsid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F36D65" w:rsidRPr="00262141" w:rsidRDefault="00F36D65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75D7E08" w14:textId="1944345D" w:rsidTr="003728FE">
        <w:trPr>
          <w:trHeight w:val="826"/>
        </w:trPr>
        <w:tc>
          <w:tcPr>
            <w:tcW w:w="1430" w:type="dxa"/>
            <w:vAlign w:val="center"/>
          </w:tcPr>
          <w:p w14:paraId="3AFE7036" w14:textId="6A8B94B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6.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E239D7C" w14:textId="2F7C368D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090B75" w:rsidRPr="00090B75">
              <w:rPr>
                <w:rFonts w:ascii="Arial Narrow" w:hAnsi="Arial Narrow"/>
              </w:rPr>
              <w:t>iniowa detekcja fluorescencji w zakresie przynajmniej 9 rzędów wielkości (10</w:t>
            </w:r>
            <w:r w:rsidR="00090B75">
              <w:rPr>
                <w:rFonts w:ascii="Arial Narrow" w:hAnsi="Arial Narrow"/>
                <w:vertAlign w:val="superscript"/>
              </w:rPr>
              <w:t>9</w:t>
            </w:r>
            <w:r w:rsidR="00090B75" w:rsidRPr="00090B75">
              <w:rPr>
                <w:rFonts w:ascii="Arial Narrow" w:hAnsi="Arial Narrow"/>
              </w:rPr>
              <w:t>)</w:t>
            </w:r>
          </w:p>
        </w:tc>
        <w:tc>
          <w:tcPr>
            <w:tcW w:w="1283" w:type="dxa"/>
            <w:vAlign w:val="center"/>
          </w:tcPr>
          <w:p w14:paraId="6A4D57EA" w14:textId="0555DA6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899A1E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CDBFBEF" w14:textId="68E638F8" w:rsidTr="003728FE">
        <w:trPr>
          <w:trHeight w:val="826"/>
        </w:trPr>
        <w:tc>
          <w:tcPr>
            <w:tcW w:w="1430" w:type="dxa"/>
            <w:vAlign w:val="center"/>
          </w:tcPr>
          <w:p w14:paraId="206A32AD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526CEE5" w14:textId="43ACBEEC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933EFC" w:rsidRPr="00933EFC">
              <w:rPr>
                <w:rFonts w:ascii="Arial Narrow" w:hAnsi="Arial Narrow"/>
              </w:rPr>
              <w:t>ystem jest kompatybilny ze wszystkimi dostępnymi systemami stosowanymi w technice real-</w:t>
            </w:r>
            <w:proofErr w:type="spellStart"/>
            <w:r w:rsidR="00933EFC" w:rsidRPr="00933EFC">
              <w:rPr>
                <w:rFonts w:ascii="Arial Narrow" w:hAnsi="Arial Narrow"/>
              </w:rPr>
              <w:t>time</w:t>
            </w:r>
            <w:proofErr w:type="spellEnd"/>
            <w:r w:rsidR="00933EFC" w:rsidRPr="00933EFC">
              <w:rPr>
                <w:rFonts w:ascii="Arial Narrow" w:hAnsi="Arial Narrow"/>
              </w:rPr>
              <w:t xml:space="preserve"> PCR, m.in.: SYBR® Green, </w:t>
            </w:r>
            <w:proofErr w:type="spellStart"/>
            <w:r w:rsidR="00933EFC" w:rsidRPr="00933EFC">
              <w:rPr>
                <w:rFonts w:ascii="Arial Narrow" w:hAnsi="Arial Narrow"/>
              </w:rPr>
              <w:t>EvaGreen</w:t>
            </w:r>
            <w:proofErr w:type="spellEnd"/>
            <w:r w:rsidR="00933EFC" w:rsidRPr="00933EFC">
              <w:rPr>
                <w:rFonts w:ascii="Arial Narrow" w:hAnsi="Arial Narrow"/>
              </w:rPr>
              <w:t xml:space="preserve">; sondy hydrolizujące typu </w:t>
            </w:r>
            <w:proofErr w:type="spellStart"/>
            <w:r w:rsidR="00933EFC" w:rsidRPr="00933EFC">
              <w:rPr>
                <w:rFonts w:ascii="Arial Narrow" w:hAnsi="Arial Narrow"/>
              </w:rPr>
              <w:t>TaqMan</w:t>
            </w:r>
            <w:proofErr w:type="spellEnd"/>
            <w:r w:rsidR="00933EFC" w:rsidRPr="00933EFC">
              <w:rPr>
                <w:rFonts w:ascii="Arial Narrow" w:hAnsi="Arial Narrow"/>
              </w:rPr>
              <w:t xml:space="preserve">, FRET, </w:t>
            </w:r>
            <w:proofErr w:type="spellStart"/>
            <w:r w:rsidR="00933EFC" w:rsidRPr="00933EFC">
              <w:rPr>
                <w:rFonts w:ascii="Arial Narrow" w:hAnsi="Arial Narrow"/>
              </w:rPr>
              <w:t>Scorpions</w:t>
            </w:r>
            <w:proofErr w:type="spellEnd"/>
          </w:p>
        </w:tc>
        <w:tc>
          <w:tcPr>
            <w:tcW w:w="1283" w:type="dxa"/>
            <w:vAlign w:val="center"/>
          </w:tcPr>
          <w:p w14:paraId="13762E4A" w14:textId="3CF19A3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324788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609A330B" w14:textId="0931C019" w:rsidTr="003728FE">
        <w:trPr>
          <w:trHeight w:val="826"/>
        </w:trPr>
        <w:tc>
          <w:tcPr>
            <w:tcW w:w="1430" w:type="dxa"/>
            <w:vAlign w:val="center"/>
          </w:tcPr>
          <w:p w14:paraId="7E5CEA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8.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D982397" w14:textId="76487B4D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933EFC" w:rsidRPr="00933EFC">
              <w:rPr>
                <w:rFonts w:ascii="Arial Narrow" w:hAnsi="Arial Narrow"/>
              </w:rPr>
              <w:t xml:space="preserve">etekcja </w:t>
            </w:r>
            <w:proofErr w:type="spellStart"/>
            <w:r w:rsidR="00933EFC" w:rsidRPr="00933EFC">
              <w:rPr>
                <w:rFonts w:ascii="Arial Narrow" w:hAnsi="Arial Narrow"/>
              </w:rPr>
              <w:t>fluoroforów</w:t>
            </w:r>
            <w:proofErr w:type="spellEnd"/>
            <w:r w:rsidR="00933EFC" w:rsidRPr="00933EFC">
              <w:rPr>
                <w:rFonts w:ascii="Arial Narrow" w:hAnsi="Arial Narrow"/>
              </w:rPr>
              <w:t>:</w:t>
            </w:r>
          </w:p>
        </w:tc>
        <w:tc>
          <w:tcPr>
            <w:tcW w:w="1283" w:type="dxa"/>
            <w:vAlign w:val="center"/>
          </w:tcPr>
          <w:p w14:paraId="54B77860" w14:textId="394EA75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54A330C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916E7BA" w14:textId="13926CBA" w:rsidTr="003728FE">
        <w:trPr>
          <w:trHeight w:val="82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6A50903" w14:textId="3F003BC9" w:rsidR="00262141" w:rsidRPr="00933EFC" w:rsidRDefault="003728FE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</w:t>
            </w:r>
            <w:r w:rsidR="00933EFC" w:rsidRPr="00933EFC">
              <w:rPr>
                <w:rFonts w:ascii="Arial Narrow" w:hAnsi="Arial Narrow"/>
                <w:b/>
                <w:bCs/>
              </w:rPr>
              <w:t>anał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54576DAA" w14:textId="13498D82" w:rsidR="00262141" w:rsidRPr="00933EFC" w:rsidRDefault="00933EFC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EFC">
              <w:rPr>
                <w:rFonts w:ascii="Arial Narrow" w:hAnsi="Arial Narrow"/>
                <w:b/>
                <w:bCs/>
              </w:rPr>
              <w:t>wzbudzenie (</w:t>
            </w:r>
            <w:proofErr w:type="spellStart"/>
            <w:r w:rsidRPr="00933EFC">
              <w:rPr>
                <w:rFonts w:ascii="Arial Narrow" w:hAnsi="Arial Narrow"/>
                <w:b/>
                <w:bCs/>
              </w:rPr>
              <w:t>nm</w:t>
            </w:r>
            <w:proofErr w:type="spellEnd"/>
            <w:r w:rsidRPr="00933EF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2D031A9" w14:textId="6D9132C8" w:rsidR="00262141" w:rsidRPr="00933EFC" w:rsidRDefault="00933EFC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EFC">
              <w:rPr>
                <w:rFonts w:ascii="Arial Narrow" w:hAnsi="Arial Narrow"/>
                <w:b/>
                <w:bCs/>
              </w:rPr>
              <w:t>detekcja (</w:t>
            </w:r>
            <w:proofErr w:type="spellStart"/>
            <w:r w:rsidRPr="00933EFC">
              <w:rPr>
                <w:rFonts w:ascii="Arial Narrow" w:hAnsi="Arial Narrow"/>
                <w:b/>
                <w:bCs/>
              </w:rPr>
              <w:t>nm</w:t>
            </w:r>
            <w:proofErr w:type="spellEnd"/>
            <w:r w:rsidRPr="00933EF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7361E4C6" w14:textId="43FBEF02" w:rsidR="00262141" w:rsidRPr="00933EFC" w:rsidRDefault="00933EFC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EFC">
              <w:rPr>
                <w:rFonts w:ascii="Arial Narrow" w:hAnsi="Arial Narrow"/>
                <w:b/>
                <w:bCs/>
              </w:rPr>
              <w:t xml:space="preserve">przykłady odczytywanych </w:t>
            </w:r>
            <w:proofErr w:type="spellStart"/>
            <w:r w:rsidRPr="00933EFC">
              <w:rPr>
                <w:rFonts w:ascii="Arial Narrow" w:hAnsi="Arial Narrow"/>
                <w:b/>
                <w:bCs/>
              </w:rPr>
              <w:t>fluoroforów</w:t>
            </w:r>
            <w:proofErr w:type="spellEnd"/>
          </w:p>
        </w:tc>
      </w:tr>
      <w:tr w:rsidR="00933EFC" w:rsidRPr="002D7F25" w14:paraId="469F7B13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07BA2AA" w14:textId="7A913E88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niebieski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21C3AB5" w14:textId="53FB6732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365 ± 20</w:t>
            </w:r>
          </w:p>
        </w:tc>
        <w:tc>
          <w:tcPr>
            <w:tcW w:w="1283" w:type="dxa"/>
            <w:vAlign w:val="center"/>
          </w:tcPr>
          <w:p w14:paraId="7005219F" w14:textId="263CBAAE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460 ± 20</w:t>
            </w:r>
          </w:p>
        </w:tc>
        <w:tc>
          <w:tcPr>
            <w:tcW w:w="2471" w:type="dxa"/>
            <w:vAlign w:val="center"/>
          </w:tcPr>
          <w:p w14:paraId="0FE7B1DF" w14:textId="78B826C7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 xml:space="preserve">Marina Blue, </w:t>
            </w:r>
            <w:proofErr w:type="spellStart"/>
            <w:r w:rsidRPr="00933EFC">
              <w:rPr>
                <w:rFonts w:ascii="Arial Narrow" w:hAnsi="Arial Narrow"/>
              </w:rPr>
              <w:t>Edans</w:t>
            </w:r>
            <w:proofErr w:type="spellEnd"/>
            <w:r w:rsidRPr="00933EFC">
              <w:rPr>
                <w:rFonts w:ascii="Arial Narrow" w:hAnsi="Arial Narrow"/>
              </w:rPr>
              <w:t xml:space="preserve">, </w:t>
            </w:r>
            <w:proofErr w:type="spellStart"/>
            <w:r w:rsidRPr="00933EFC">
              <w:rPr>
                <w:rFonts w:ascii="Arial Narrow" w:hAnsi="Arial Narrow"/>
              </w:rPr>
              <w:t>Bothell</w:t>
            </w:r>
            <w:proofErr w:type="spellEnd"/>
            <w:r w:rsidRPr="00933EFC">
              <w:rPr>
                <w:rFonts w:ascii="Arial Narrow" w:hAnsi="Arial Narrow"/>
              </w:rPr>
              <w:t xml:space="preserve"> Blue, </w:t>
            </w:r>
            <w:proofErr w:type="spellStart"/>
            <w:r w:rsidRPr="00933EFC">
              <w:rPr>
                <w:rFonts w:ascii="Arial Narrow" w:hAnsi="Arial Narrow"/>
              </w:rPr>
              <w:t>Alexa</w:t>
            </w:r>
            <w:proofErr w:type="spellEnd"/>
            <w:r w:rsidRPr="00933EFC">
              <w:rPr>
                <w:rFonts w:ascii="Arial Narrow" w:hAnsi="Arial Narrow"/>
              </w:rPr>
              <w:t xml:space="preserve"> Fluor 350, AMCA-X, ATTO 390</w:t>
            </w:r>
          </w:p>
        </w:tc>
      </w:tr>
      <w:tr w:rsidR="00933EFC" w:rsidRPr="002D7F25" w14:paraId="675A4DDD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888C958" w14:textId="45250E1D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zielony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2A114CD" w14:textId="0DD91F45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470 ± 10</w:t>
            </w:r>
          </w:p>
        </w:tc>
        <w:tc>
          <w:tcPr>
            <w:tcW w:w="1283" w:type="dxa"/>
            <w:vAlign w:val="center"/>
          </w:tcPr>
          <w:p w14:paraId="38A7E287" w14:textId="140DE87D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510 ± 5</w:t>
            </w:r>
          </w:p>
        </w:tc>
        <w:tc>
          <w:tcPr>
            <w:tcW w:w="2471" w:type="dxa"/>
            <w:vAlign w:val="center"/>
          </w:tcPr>
          <w:p w14:paraId="1BAA17A8" w14:textId="30673162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 xml:space="preserve">FAM, SYBR® Green I, Fluorescein, </w:t>
            </w:r>
            <w:proofErr w:type="spellStart"/>
            <w:r w:rsidRPr="00933EFC">
              <w:rPr>
                <w:rFonts w:ascii="Arial Narrow" w:hAnsi="Arial Narrow"/>
              </w:rPr>
              <w:t>EvaGreen</w:t>
            </w:r>
            <w:proofErr w:type="spellEnd"/>
            <w:r w:rsidRPr="00933EFC">
              <w:rPr>
                <w:rFonts w:ascii="Arial Narrow" w:hAnsi="Arial Narrow"/>
              </w:rPr>
              <w:t>,</w:t>
            </w:r>
          </w:p>
        </w:tc>
      </w:tr>
      <w:tr w:rsidR="00933EFC" w:rsidRPr="002D7F25" w14:paraId="2BF343A1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0DD28C70" w14:textId="2ADD2DF3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żółty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1625DC8" w14:textId="29D0E2E4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530 ± 5</w:t>
            </w:r>
          </w:p>
        </w:tc>
        <w:tc>
          <w:tcPr>
            <w:tcW w:w="1283" w:type="dxa"/>
            <w:vAlign w:val="center"/>
          </w:tcPr>
          <w:p w14:paraId="15B4AB3C" w14:textId="05CEE216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557 ± 5</w:t>
            </w:r>
          </w:p>
        </w:tc>
        <w:tc>
          <w:tcPr>
            <w:tcW w:w="2471" w:type="dxa"/>
            <w:vAlign w:val="center"/>
          </w:tcPr>
          <w:p w14:paraId="4F19CDA6" w14:textId="0CF58511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 xml:space="preserve">JOE, VIC, HEX, TET, CAL Fluor Gold 540, </w:t>
            </w:r>
            <w:proofErr w:type="spellStart"/>
            <w:r w:rsidRPr="00933EFC">
              <w:rPr>
                <w:rFonts w:ascii="Arial Narrow" w:hAnsi="Arial Narrow"/>
              </w:rPr>
              <w:t>Yakima</w:t>
            </w:r>
            <w:proofErr w:type="spellEnd"/>
            <w:r w:rsidRPr="00933EFC">
              <w:rPr>
                <w:rFonts w:ascii="Arial Narrow" w:hAnsi="Arial Narrow"/>
              </w:rPr>
              <w:t xml:space="preserve"> </w:t>
            </w:r>
            <w:proofErr w:type="spellStart"/>
            <w:r w:rsidRPr="00933EFC">
              <w:rPr>
                <w:rFonts w:ascii="Arial Narrow" w:hAnsi="Arial Narrow"/>
              </w:rPr>
              <w:t>Yellow</w:t>
            </w:r>
            <w:proofErr w:type="spellEnd"/>
          </w:p>
        </w:tc>
      </w:tr>
      <w:tr w:rsidR="00933EFC" w:rsidRPr="002D7F25" w14:paraId="306425FB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0718F9C1" w14:textId="66976348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pomarańczowy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43218C8" w14:textId="2E95B53C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585 ± 5</w:t>
            </w:r>
          </w:p>
        </w:tc>
        <w:tc>
          <w:tcPr>
            <w:tcW w:w="1283" w:type="dxa"/>
            <w:vAlign w:val="center"/>
          </w:tcPr>
          <w:p w14:paraId="70EDAF48" w14:textId="615ABDB4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610 ± 5</w:t>
            </w:r>
          </w:p>
        </w:tc>
        <w:tc>
          <w:tcPr>
            <w:tcW w:w="2471" w:type="dxa"/>
            <w:vAlign w:val="center"/>
          </w:tcPr>
          <w:p w14:paraId="696A5C4F" w14:textId="68A1B7DE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 xml:space="preserve">ROX, CAL Fluor Red 610, </w:t>
            </w:r>
            <w:proofErr w:type="spellStart"/>
            <w:r w:rsidRPr="00933EFC">
              <w:rPr>
                <w:rFonts w:ascii="Arial Narrow" w:hAnsi="Arial Narrow"/>
              </w:rPr>
              <w:t>Cy</w:t>
            </w:r>
            <w:proofErr w:type="spellEnd"/>
            <w:r w:rsidRPr="00933EFC">
              <w:rPr>
                <w:rFonts w:ascii="Arial Narrow" w:hAnsi="Arial Narrow"/>
              </w:rPr>
              <w:t xml:space="preserve"> 3.5, Texas Red,</w:t>
            </w:r>
          </w:p>
        </w:tc>
      </w:tr>
      <w:tr w:rsidR="00933EFC" w:rsidRPr="002D7F25" w14:paraId="7CA62333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120B27A" w14:textId="01444714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czerwony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E6BC15F" w14:textId="03563F05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625 ± 5</w:t>
            </w:r>
          </w:p>
        </w:tc>
        <w:tc>
          <w:tcPr>
            <w:tcW w:w="1283" w:type="dxa"/>
            <w:vAlign w:val="center"/>
          </w:tcPr>
          <w:p w14:paraId="26E62531" w14:textId="76313E36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660 ± 10</w:t>
            </w:r>
          </w:p>
        </w:tc>
        <w:tc>
          <w:tcPr>
            <w:tcW w:w="2471" w:type="dxa"/>
            <w:vAlign w:val="center"/>
          </w:tcPr>
          <w:p w14:paraId="662D8DCF" w14:textId="6CC15E40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proofErr w:type="spellStart"/>
            <w:r w:rsidRPr="00933EFC">
              <w:rPr>
                <w:rFonts w:ascii="Arial Narrow" w:hAnsi="Arial Narrow"/>
              </w:rPr>
              <w:t>Cyanine</w:t>
            </w:r>
            <w:proofErr w:type="spellEnd"/>
            <w:r w:rsidRPr="00933EFC">
              <w:rPr>
                <w:rFonts w:ascii="Arial Narrow" w:hAnsi="Arial Narrow"/>
              </w:rPr>
              <w:t xml:space="preserve"> 670, </w:t>
            </w:r>
            <w:proofErr w:type="spellStart"/>
            <w:r w:rsidRPr="00933EFC">
              <w:rPr>
                <w:rFonts w:ascii="Arial Narrow" w:hAnsi="Arial Narrow"/>
              </w:rPr>
              <w:t>Quasar</w:t>
            </w:r>
            <w:proofErr w:type="spellEnd"/>
            <w:r w:rsidRPr="00933EFC">
              <w:rPr>
                <w:rFonts w:ascii="Arial Narrow" w:hAnsi="Arial Narrow"/>
              </w:rPr>
              <w:t xml:space="preserve"> 670, </w:t>
            </w:r>
            <w:proofErr w:type="spellStart"/>
            <w:r w:rsidRPr="00933EFC">
              <w:rPr>
                <w:rFonts w:ascii="Arial Narrow" w:hAnsi="Arial Narrow"/>
              </w:rPr>
              <w:t>LightCycler</w:t>
            </w:r>
            <w:proofErr w:type="spellEnd"/>
            <w:r w:rsidRPr="00933EFC">
              <w:rPr>
                <w:rFonts w:ascii="Arial Narrow" w:hAnsi="Arial Narrow"/>
              </w:rPr>
              <w:t xml:space="preserve"> Red640,</w:t>
            </w:r>
          </w:p>
        </w:tc>
      </w:tr>
      <w:tr w:rsidR="00933EFC" w:rsidRPr="002D7F25" w14:paraId="1D69B165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464CF86" w14:textId="77FBBF32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fioletowy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A7A2F9A" w14:textId="7A02DA60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680 ± 5</w:t>
            </w:r>
          </w:p>
        </w:tc>
        <w:tc>
          <w:tcPr>
            <w:tcW w:w="1283" w:type="dxa"/>
            <w:vAlign w:val="center"/>
          </w:tcPr>
          <w:p w14:paraId="6C8124AC" w14:textId="071DF0D6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712 high pass</w:t>
            </w:r>
          </w:p>
        </w:tc>
        <w:tc>
          <w:tcPr>
            <w:tcW w:w="2471" w:type="dxa"/>
            <w:vAlign w:val="center"/>
          </w:tcPr>
          <w:p w14:paraId="3168D2BF" w14:textId="4D9C3D77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proofErr w:type="spellStart"/>
            <w:r w:rsidRPr="00933EFC">
              <w:rPr>
                <w:rFonts w:ascii="Arial Narrow" w:hAnsi="Arial Narrow"/>
              </w:rPr>
              <w:t>Quasar</w:t>
            </w:r>
            <w:proofErr w:type="spellEnd"/>
            <w:r w:rsidRPr="00933EFC">
              <w:rPr>
                <w:rFonts w:ascii="Arial Narrow" w:hAnsi="Arial Narrow"/>
              </w:rPr>
              <w:t xml:space="preserve"> 705, </w:t>
            </w:r>
            <w:proofErr w:type="spellStart"/>
            <w:r w:rsidRPr="00933EFC">
              <w:rPr>
                <w:rFonts w:ascii="Arial Narrow" w:hAnsi="Arial Narrow"/>
              </w:rPr>
              <w:t>LightCycler</w:t>
            </w:r>
            <w:proofErr w:type="spellEnd"/>
            <w:r w:rsidRPr="00933EFC">
              <w:rPr>
                <w:rFonts w:ascii="Arial Narrow" w:hAnsi="Arial Narrow"/>
              </w:rPr>
              <w:t xml:space="preserve"> Red705, </w:t>
            </w:r>
            <w:proofErr w:type="spellStart"/>
            <w:r w:rsidRPr="00933EFC">
              <w:rPr>
                <w:rFonts w:ascii="Arial Narrow" w:hAnsi="Arial Narrow"/>
              </w:rPr>
              <w:t>Alexa</w:t>
            </w:r>
            <w:proofErr w:type="spellEnd"/>
            <w:r w:rsidRPr="00933EFC">
              <w:rPr>
                <w:rFonts w:ascii="Arial Narrow" w:hAnsi="Arial Narrow"/>
              </w:rPr>
              <w:t xml:space="preserve"> Fluor 680</w:t>
            </w:r>
          </w:p>
        </w:tc>
      </w:tr>
      <w:tr w:rsidR="00933EFC" w:rsidRPr="002D7F25" w14:paraId="0E70571E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3B4853DC" w14:textId="2E0A63FA" w:rsidR="00933EFC" w:rsidRPr="00262141" w:rsidRDefault="00933EF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0C5FB9B" w14:textId="5DD9578D" w:rsidR="00933EFC" w:rsidRPr="00262141" w:rsidRDefault="00933EFC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33EFC">
              <w:rPr>
                <w:rFonts w:ascii="Arial Narrow" w:hAnsi="Arial Narrow"/>
              </w:rPr>
              <w:t>akres temperatur od minimum 35°C do 99°C</w:t>
            </w:r>
          </w:p>
        </w:tc>
        <w:tc>
          <w:tcPr>
            <w:tcW w:w="1283" w:type="dxa"/>
            <w:vAlign w:val="center"/>
          </w:tcPr>
          <w:p w14:paraId="26525D99" w14:textId="01260D96" w:rsidR="00933EFC" w:rsidRPr="00383C1D" w:rsidRDefault="00933EFC" w:rsidP="00383C1D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0DD8CD3" w14:textId="77777777" w:rsidR="00933EFC" w:rsidRPr="00262141" w:rsidRDefault="00933EF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320569" w14:textId="0D926B88" w:rsidTr="003728FE">
        <w:trPr>
          <w:trHeight w:val="826"/>
        </w:trPr>
        <w:tc>
          <w:tcPr>
            <w:tcW w:w="1430" w:type="dxa"/>
            <w:vAlign w:val="center"/>
          </w:tcPr>
          <w:p w14:paraId="3EC4A3A9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10.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8C7631D" w14:textId="54471689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3728FE">
              <w:rPr>
                <w:rFonts w:ascii="Arial Narrow" w:hAnsi="Arial Narrow"/>
              </w:rPr>
              <w:t>aczynia reakcyjne są grzane cyrkulującym powietrzem</w:t>
            </w:r>
          </w:p>
        </w:tc>
        <w:tc>
          <w:tcPr>
            <w:tcW w:w="1283" w:type="dxa"/>
            <w:vAlign w:val="center"/>
          </w:tcPr>
          <w:p w14:paraId="13D3D738" w14:textId="128ECAE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533ED9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684A938" w14:textId="742E81A2" w:rsidTr="003728FE">
        <w:trPr>
          <w:trHeight w:val="826"/>
        </w:trPr>
        <w:tc>
          <w:tcPr>
            <w:tcW w:w="1430" w:type="dxa"/>
            <w:vAlign w:val="center"/>
          </w:tcPr>
          <w:p w14:paraId="7E0657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11.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45C5DBB" w14:textId="45290082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3728FE">
              <w:rPr>
                <w:rFonts w:ascii="Arial Narrow" w:hAnsi="Arial Narrow"/>
              </w:rPr>
              <w:t>aczynia reakcyjne są chłodzone cyrkulującym powietrzem</w:t>
            </w:r>
          </w:p>
        </w:tc>
        <w:tc>
          <w:tcPr>
            <w:tcW w:w="1283" w:type="dxa"/>
            <w:vAlign w:val="center"/>
          </w:tcPr>
          <w:p w14:paraId="723464A8" w14:textId="004D76B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730248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19B18AF" w14:textId="4CF53E0E" w:rsidTr="003728FE">
        <w:trPr>
          <w:trHeight w:val="826"/>
        </w:trPr>
        <w:tc>
          <w:tcPr>
            <w:tcW w:w="1430" w:type="dxa"/>
            <w:vAlign w:val="center"/>
          </w:tcPr>
          <w:p w14:paraId="5A5CC4D3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12.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3F7B9AE" w14:textId="03BCFEB1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Pr="003728FE">
              <w:rPr>
                <w:rFonts w:ascii="Arial Narrow" w:hAnsi="Arial Narrow"/>
              </w:rPr>
              <w:t>ednorodność temperatury między poszczególnymi próbkami ±0,02°C</w:t>
            </w:r>
          </w:p>
        </w:tc>
        <w:tc>
          <w:tcPr>
            <w:tcW w:w="1283" w:type="dxa"/>
            <w:vAlign w:val="center"/>
          </w:tcPr>
          <w:p w14:paraId="17E64921" w14:textId="32249F41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75A8D1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6612E42" w14:textId="67E32AFB" w:rsidTr="003728FE">
        <w:trPr>
          <w:trHeight w:val="826"/>
        </w:trPr>
        <w:tc>
          <w:tcPr>
            <w:tcW w:w="1430" w:type="dxa"/>
            <w:vAlign w:val="center"/>
          </w:tcPr>
          <w:p w14:paraId="53F96820" w14:textId="745AFE2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13.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21C6526" w14:textId="04611367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3728FE">
              <w:rPr>
                <w:rFonts w:ascii="Arial Narrow" w:hAnsi="Arial Narrow"/>
              </w:rPr>
              <w:t>okładność nastaw temperatury ±0,5°C</w:t>
            </w:r>
          </w:p>
        </w:tc>
        <w:tc>
          <w:tcPr>
            <w:tcW w:w="1283" w:type="dxa"/>
            <w:vAlign w:val="center"/>
          </w:tcPr>
          <w:p w14:paraId="5051EB07" w14:textId="297AF54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10F4BC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1C372BE5" w14:textId="17F4E6A6" w:rsidTr="003728FE">
        <w:trPr>
          <w:trHeight w:val="826"/>
        </w:trPr>
        <w:tc>
          <w:tcPr>
            <w:tcW w:w="1430" w:type="dxa"/>
            <w:vAlign w:val="center"/>
          </w:tcPr>
          <w:p w14:paraId="49387072" w14:textId="25122669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53E906C" w14:textId="7F1879F7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3728FE">
              <w:rPr>
                <w:rFonts w:ascii="Arial Narrow" w:hAnsi="Arial Narrow"/>
              </w:rPr>
              <w:t>ozdzielczość pomiaru ±0,02°C</w:t>
            </w:r>
          </w:p>
        </w:tc>
        <w:tc>
          <w:tcPr>
            <w:tcW w:w="1283" w:type="dxa"/>
            <w:vAlign w:val="center"/>
          </w:tcPr>
          <w:p w14:paraId="601F46A2" w14:textId="21E639D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29411B5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AC0E6B4" w14:textId="41C29273" w:rsidTr="003728FE">
        <w:trPr>
          <w:trHeight w:val="864"/>
        </w:trPr>
        <w:tc>
          <w:tcPr>
            <w:tcW w:w="1430" w:type="dxa"/>
            <w:vAlign w:val="center"/>
          </w:tcPr>
          <w:p w14:paraId="0B9BAD90" w14:textId="0A20D8D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15.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E5E17B8" w14:textId="5DA67B83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728FE">
              <w:rPr>
                <w:rFonts w:ascii="Arial Narrow" w:hAnsi="Arial Narrow"/>
              </w:rPr>
              <w:t>zybkość chłodzenia 20°C/s</w:t>
            </w:r>
          </w:p>
        </w:tc>
        <w:tc>
          <w:tcPr>
            <w:tcW w:w="1283" w:type="dxa"/>
            <w:vAlign w:val="center"/>
          </w:tcPr>
          <w:p w14:paraId="457758C3" w14:textId="5BC42C05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079284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1B4EF8D" w14:textId="4F0CA135" w:rsidTr="003728FE">
        <w:trPr>
          <w:trHeight w:val="826"/>
        </w:trPr>
        <w:tc>
          <w:tcPr>
            <w:tcW w:w="1430" w:type="dxa"/>
            <w:vAlign w:val="center"/>
          </w:tcPr>
          <w:p w14:paraId="06DD9942" w14:textId="0085439C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16.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7E4D2C99" w14:textId="6D98D798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728FE">
              <w:rPr>
                <w:rFonts w:ascii="Arial Narrow" w:hAnsi="Arial Narrow"/>
              </w:rPr>
              <w:t>zybkość grzania 15°C/s</w:t>
            </w:r>
          </w:p>
        </w:tc>
        <w:tc>
          <w:tcPr>
            <w:tcW w:w="1283" w:type="dxa"/>
            <w:vAlign w:val="center"/>
          </w:tcPr>
          <w:p w14:paraId="777BE785" w14:textId="64F59963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 w:rsidRPr="003728FE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291477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1C6424" w14:paraId="2292EE2E" w14:textId="33EB3BF9" w:rsidTr="003728FE">
        <w:trPr>
          <w:trHeight w:val="826"/>
        </w:trPr>
        <w:tc>
          <w:tcPr>
            <w:tcW w:w="1430" w:type="dxa"/>
            <w:vAlign w:val="center"/>
          </w:tcPr>
          <w:p w14:paraId="32DB425E" w14:textId="3D0A4FF8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</w:t>
            </w:r>
            <w:r w:rsidR="003728FE">
              <w:rPr>
                <w:rFonts w:ascii="Arial Narrow" w:hAnsi="Arial Narrow"/>
              </w:rPr>
              <w:t>7</w:t>
            </w:r>
            <w:r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7BC72993" w14:textId="68F6C365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3728FE">
              <w:rPr>
                <w:rFonts w:ascii="Arial Narrow" w:hAnsi="Arial Narrow"/>
              </w:rPr>
              <w:t>ykorzystanie wszystkich optycznych możliwości aparatu bez konieczności kalibracji przed wykonaniem oznaczenia</w:t>
            </w:r>
          </w:p>
        </w:tc>
        <w:tc>
          <w:tcPr>
            <w:tcW w:w="1283" w:type="dxa"/>
            <w:vAlign w:val="center"/>
          </w:tcPr>
          <w:p w14:paraId="24F87556" w14:textId="29CF0E0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268918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8E88709" w14:textId="60A2D7BB" w:rsidTr="003728FE">
        <w:trPr>
          <w:trHeight w:val="767"/>
        </w:trPr>
        <w:tc>
          <w:tcPr>
            <w:tcW w:w="1430" w:type="dxa"/>
            <w:vAlign w:val="center"/>
          </w:tcPr>
          <w:p w14:paraId="79C82543" w14:textId="606918C5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262141"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0E4A7148" w14:textId="751E50AF" w:rsidR="00262141" w:rsidRPr="00262141" w:rsidRDefault="003728FE" w:rsidP="00383C1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</w:t>
            </w:r>
            <w:r w:rsidRPr="003728FE">
              <w:rPr>
                <w:rFonts w:ascii="Arial Narrow" w:hAnsi="Arial Narrow"/>
              </w:rPr>
              <w:t>ożliwość temperaturowej kalibracji sytemu przez użytkownika</w:t>
            </w:r>
          </w:p>
        </w:tc>
        <w:tc>
          <w:tcPr>
            <w:tcW w:w="1283" w:type="dxa"/>
            <w:vAlign w:val="center"/>
          </w:tcPr>
          <w:p w14:paraId="02A802F0" w14:textId="52014A3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23B00E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18E2A35E" w14:textId="0C9F0500" w:rsidTr="003728FE">
        <w:trPr>
          <w:trHeight w:val="767"/>
        </w:trPr>
        <w:tc>
          <w:tcPr>
            <w:tcW w:w="1430" w:type="dxa"/>
            <w:vAlign w:val="center"/>
          </w:tcPr>
          <w:p w14:paraId="38944954" w14:textId="421C3C6A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025" w:type="dxa"/>
            <w:vAlign w:val="center"/>
          </w:tcPr>
          <w:p w14:paraId="2BCDFFFF" w14:textId="53BBB509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728FE">
              <w:rPr>
                <w:rFonts w:ascii="Arial Narrow" w:hAnsi="Arial Narrow"/>
              </w:rPr>
              <w:t>tacja sterująca w postaci komputera przenośnego</w:t>
            </w:r>
          </w:p>
        </w:tc>
        <w:tc>
          <w:tcPr>
            <w:tcW w:w="1283" w:type="dxa"/>
            <w:vAlign w:val="center"/>
          </w:tcPr>
          <w:p w14:paraId="53E0AF02" w14:textId="74DFE1A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B8F8B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7C3D771A" w14:textId="5CE28218" w:rsidTr="003728FE">
        <w:trPr>
          <w:trHeight w:val="826"/>
        </w:trPr>
        <w:tc>
          <w:tcPr>
            <w:tcW w:w="1430" w:type="dxa"/>
            <w:vAlign w:val="center"/>
          </w:tcPr>
          <w:p w14:paraId="6B9140BB" w14:textId="4C29626E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262141"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3E6D2551" w14:textId="3231B539" w:rsidR="00262141" w:rsidRPr="00262141" w:rsidRDefault="003728FE" w:rsidP="00383C1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O</w:t>
            </w:r>
            <w:r w:rsidRPr="003728FE">
              <w:rPr>
                <w:rFonts w:ascii="Arial Narrow" w:hAnsi="Arial Narrow"/>
              </w:rPr>
              <w:t>programowanie do projektowania reakcji, detekcji i analizy amplifikacji DNA w czasie rzeczywistym pozwala na kontrolę systemu, zbieranie, przechowywanie danych, analizę wyników</w:t>
            </w:r>
          </w:p>
        </w:tc>
        <w:tc>
          <w:tcPr>
            <w:tcW w:w="1283" w:type="dxa"/>
            <w:vAlign w:val="center"/>
          </w:tcPr>
          <w:p w14:paraId="2FD916F7" w14:textId="645C218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8A5B09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E12C587" w14:textId="0774F4A4" w:rsidTr="003728FE">
        <w:trPr>
          <w:trHeight w:val="826"/>
        </w:trPr>
        <w:tc>
          <w:tcPr>
            <w:tcW w:w="1430" w:type="dxa"/>
            <w:vAlign w:val="center"/>
          </w:tcPr>
          <w:p w14:paraId="694221AF" w14:textId="14FCCEDC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262141"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2913222C" w14:textId="3F0D2E09" w:rsidR="00262141" w:rsidRPr="00262141" w:rsidRDefault="000859CC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3728FE" w:rsidRPr="003728FE">
              <w:rPr>
                <w:rFonts w:ascii="Arial Narrow" w:hAnsi="Arial Narrow"/>
              </w:rPr>
              <w:t>unkcje oprogramowania:</w:t>
            </w:r>
          </w:p>
        </w:tc>
        <w:tc>
          <w:tcPr>
            <w:tcW w:w="1283" w:type="dxa"/>
            <w:vAlign w:val="center"/>
          </w:tcPr>
          <w:p w14:paraId="20B064E4" w14:textId="187ECC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2CD9F24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58BE7ADB" w14:textId="402F3D58" w:rsidTr="003728FE">
        <w:trPr>
          <w:trHeight w:val="826"/>
        </w:trPr>
        <w:tc>
          <w:tcPr>
            <w:tcW w:w="1430" w:type="dxa"/>
            <w:vAlign w:val="center"/>
          </w:tcPr>
          <w:p w14:paraId="5D0F291D" w14:textId="5F9087CF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29A9235D" w14:textId="7CA2D1A8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analizy danych przed ukończeniem reakcji</w:t>
            </w:r>
          </w:p>
        </w:tc>
        <w:tc>
          <w:tcPr>
            <w:tcW w:w="1283" w:type="dxa"/>
            <w:vMerge w:val="restart"/>
            <w:vAlign w:val="center"/>
          </w:tcPr>
          <w:p w14:paraId="71965E4C" w14:textId="35AE2F8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Merge w:val="restart"/>
            <w:vAlign w:val="center"/>
          </w:tcPr>
          <w:p w14:paraId="6F51265E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9979C5A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700B64F1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002C749B" w14:textId="4CA368E7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ustawianie temperatury detekcji w dowolnie wybranym etapie reakcji</w:t>
            </w:r>
          </w:p>
        </w:tc>
        <w:tc>
          <w:tcPr>
            <w:tcW w:w="1283" w:type="dxa"/>
            <w:vMerge/>
            <w:vAlign w:val="center"/>
          </w:tcPr>
          <w:p w14:paraId="448205F2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4B2AF220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7AF10BF4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2A9E1E15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0EF4D596" w14:textId="30B54040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funkcja szybkiego programowania systemu</w:t>
            </w:r>
          </w:p>
        </w:tc>
        <w:tc>
          <w:tcPr>
            <w:tcW w:w="1283" w:type="dxa"/>
            <w:vMerge/>
            <w:vAlign w:val="center"/>
          </w:tcPr>
          <w:p w14:paraId="61B299AE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1BBE9F46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350733F0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5D85DF87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73DD2418" w14:textId="1B705371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dodawania/omijania cykli w aktualnie realizowanym programie</w:t>
            </w:r>
          </w:p>
        </w:tc>
        <w:tc>
          <w:tcPr>
            <w:tcW w:w="1283" w:type="dxa"/>
            <w:vMerge/>
            <w:vAlign w:val="center"/>
          </w:tcPr>
          <w:p w14:paraId="05BE95B2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7B819392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7D3A564A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5E975E8A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7012ACD8" w14:textId="384BC6D1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funkcja wydłużania czasu pracy w ramach danego cyklu</w:t>
            </w:r>
          </w:p>
        </w:tc>
        <w:tc>
          <w:tcPr>
            <w:tcW w:w="1283" w:type="dxa"/>
            <w:vMerge/>
            <w:vAlign w:val="center"/>
          </w:tcPr>
          <w:p w14:paraId="177DDD12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5296C618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2D145ADE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08A871C3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4120F0B3" w14:textId="0C11E6F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obniżania temperatury w ramach danego cyklu</w:t>
            </w:r>
          </w:p>
        </w:tc>
        <w:tc>
          <w:tcPr>
            <w:tcW w:w="1283" w:type="dxa"/>
            <w:vMerge/>
            <w:vAlign w:val="center"/>
          </w:tcPr>
          <w:p w14:paraId="27BED8F9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5F96890B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066142C7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6014DF69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1BCBA892" w14:textId="7F6B8D7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wyznaczania stężenia DNA na podstawie krzywej standardowej</w:t>
            </w:r>
          </w:p>
        </w:tc>
        <w:tc>
          <w:tcPr>
            <w:tcW w:w="1283" w:type="dxa"/>
            <w:vMerge/>
            <w:vAlign w:val="center"/>
          </w:tcPr>
          <w:p w14:paraId="6F0EB251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21DBBFFE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633641F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79A793C3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2CDC8AC4" w14:textId="4382D35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 xml:space="preserve">analiza krzywej denaturacji: automatyczne wykreślanie krzywej denaturacji </w:t>
            </w:r>
            <w:proofErr w:type="spellStart"/>
            <w:r w:rsidRPr="000859CC">
              <w:rPr>
                <w:rFonts w:ascii="Arial Narrow" w:hAnsi="Arial Narrow"/>
              </w:rPr>
              <w:t>amplikonu</w:t>
            </w:r>
            <w:proofErr w:type="spellEnd"/>
            <w:r w:rsidRPr="000859CC">
              <w:rPr>
                <w:rFonts w:ascii="Arial Narrow" w:hAnsi="Arial Narrow"/>
              </w:rPr>
              <w:t>; automatyczne wyznaczanie temperatury topnienia; możliwość dowolnego ustawienia warunków analizy krzywych denaturacji</w:t>
            </w:r>
          </w:p>
        </w:tc>
        <w:tc>
          <w:tcPr>
            <w:tcW w:w="1283" w:type="dxa"/>
            <w:vMerge/>
            <w:vAlign w:val="center"/>
          </w:tcPr>
          <w:p w14:paraId="23C43C79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3A50BB6F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193A3E7D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1CC257F5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66B522D9" w14:textId="1E803E4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analiza ilościowa: automatyczne wykreślanie krzywej standardowej; automatyczne lub ręczne ustawianie linii odcięcia; wyznaczenie linii podstawowej uwzględniające zmienną ilość punków dla każdej próby cyklu; automatyczne wyznaczanie wydajności reakcji oraz parametrów krzywej standardowej</w:t>
            </w:r>
          </w:p>
        </w:tc>
        <w:tc>
          <w:tcPr>
            <w:tcW w:w="1283" w:type="dxa"/>
            <w:vMerge/>
            <w:vAlign w:val="center"/>
          </w:tcPr>
          <w:p w14:paraId="4E06DEA9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7898CE96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559ABC6F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26FF6E8F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30412A88" w14:textId="0B33A8C1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 xml:space="preserve">względna analiza ilościowa: wyznaczanie względnych ilości amplifikowanego fragmentu przynajmniej trzema metodami: </w:t>
            </w:r>
            <w:proofErr w:type="spellStart"/>
            <w:r w:rsidRPr="000859CC">
              <w:rPr>
                <w:rFonts w:ascii="Arial Narrow" w:hAnsi="Arial Narrow"/>
              </w:rPr>
              <w:t>ΔΔCp</w:t>
            </w:r>
            <w:proofErr w:type="spellEnd"/>
            <w:r w:rsidRPr="000859CC">
              <w:rPr>
                <w:rFonts w:ascii="Arial Narrow" w:hAnsi="Arial Narrow"/>
              </w:rPr>
              <w:t>, z wykorzystaniem dwóch krzywych standardowych i poprzez porównanie danych z dwóch reakcji biegnących w tym samym eksperymencie</w:t>
            </w:r>
          </w:p>
        </w:tc>
        <w:tc>
          <w:tcPr>
            <w:tcW w:w="1283" w:type="dxa"/>
            <w:vMerge/>
            <w:vAlign w:val="center"/>
          </w:tcPr>
          <w:p w14:paraId="4F09814A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3AB1E493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EFC2337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1BE5AB3D" w14:textId="1794AC8C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025" w:type="dxa"/>
            <w:vAlign w:val="center"/>
          </w:tcPr>
          <w:p w14:paraId="54E707CB" w14:textId="09E0B0B7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wymiary: szerokość 370 mm, wysokość 286 mm, głębokość 420 mm</w:t>
            </w:r>
            <w:r>
              <w:rPr>
                <w:rFonts w:ascii="Arial Narrow" w:hAnsi="Arial Narrow"/>
              </w:rPr>
              <w:t>, +/- 5%</w:t>
            </w:r>
          </w:p>
        </w:tc>
        <w:tc>
          <w:tcPr>
            <w:tcW w:w="1283" w:type="dxa"/>
            <w:vAlign w:val="center"/>
          </w:tcPr>
          <w:p w14:paraId="3E22DF46" w14:textId="6B66A5CE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5ADC42D1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EDC5197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F2C5E6C" w14:textId="2C22C68B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025" w:type="dxa"/>
            <w:vAlign w:val="center"/>
          </w:tcPr>
          <w:p w14:paraId="742F2A20" w14:textId="674B3970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masa urządzenia 12,5 kg</w:t>
            </w:r>
            <w:r>
              <w:rPr>
                <w:rFonts w:ascii="Arial Narrow" w:hAnsi="Arial Narrow"/>
              </w:rPr>
              <w:t xml:space="preserve"> </w:t>
            </w:r>
            <w:r w:rsidRPr="000859CC">
              <w:rPr>
                <w:rFonts w:ascii="Arial Narrow" w:hAnsi="Arial Narrow"/>
              </w:rPr>
              <w:t>+/- 5%</w:t>
            </w:r>
          </w:p>
        </w:tc>
        <w:tc>
          <w:tcPr>
            <w:tcW w:w="1283" w:type="dxa"/>
            <w:vAlign w:val="center"/>
          </w:tcPr>
          <w:p w14:paraId="5070061C" w14:textId="126A2AA9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4A73D01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125E9019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2F2438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002A864C" w14:textId="669A0D42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EFB88F3" w14:textId="77777777" w:rsidR="007175D7" w:rsidRDefault="007175D7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3363" w14:textId="77777777" w:rsidR="005F3A56" w:rsidRDefault="005F3A56" w:rsidP="003A6CB4">
      <w:pPr>
        <w:spacing w:after="0" w:line="240" w:lineRule="auto"/>
      </w:pPr>
      <w:r>
        <w:separator/>
      </w:r>
    </w:p>
  </w:endnote>
  <w:endnote w:type="continuationSeparator" w:id="0">
    <w:p w14:paraId="139B3DF5" w14:textId="77777777" w:rsidR="005F3A56" w:rsidRDefault="005F3A56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1809" w14:textId="5E4D7C0F" w:rsidR="007175D7" w:rsidRPr="007175D7" w:rsidRDefault="007175D7" w:rsidP="007175D7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8FCD2" w14:textId="77777777" w:rsidR="005F3A56" w:rsidRDefault="005F3A56" w:rsidP="003A6CB4">
      <w:pPr>
        <w:spacing w:after="0" w:line="240" w:lineRule="auto"/>
      </w:pPr>
      <w:r>
        <w:separator/>
      </w:r>
    </w:p>
  </w:footnote>
  <w:footnote w:type="continuationSeparator" w:id="0">
    <w:p w14:paraId="2F25D9A0" w14:textId="77777777" w:rsidR="005F3A56" w:rsidRDefault="005F3A56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7CCE" w14:textId="44836AB2" w:rsidR="00262141" w:rsidRPr="00262141" w:rsidRDefault="00262141" w:rsidP="00262141">
    <w:pPr>
      <w:widowControl w:val="0"/>
      <w:autoSpaceDE w:val="0"/>
      <w:rPr>
        <w:rFonts w:eastAsia="Lucida Sans Unicode" w:cs="Arial"/>
        <w:b/>
        <w:i/>
        <w:sz w:val="18"/>
        <w:szCs w:val="18"/>
      </w:rPr>
    </w:pP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493CFD7D" wp14:editId="43D586B7">
          <wp:extent cx="1028700" cy="42862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19E004E" wp14:editId="557EAAC5">
          <wp:extent cx="1400175" cy="42862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76A19E9" wp14:editId="3C70F163">
          <wp:extent cx="942975" cy="428625"/>
          <wp:effectExtent l="0" t="0" r="952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53E9329D" wp14:editId="34478E19">
          <wp:extent cx="1457325" cy="428625"/>
          <wp:effectExtent l="0" t="0" r="9525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7D7D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Projekt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współfinansowany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przez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Unię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Europejską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ze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środków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Europejskiego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Funduszu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Rozwoju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Regionalnego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                                                         w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ramach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Regionalnego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Programu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Operacyjnego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Województwa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Świętokrzyskiego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na lata 2014-2020</w:t>
    </w:r>
  </w:p>
  <w:p w14:paraId="6050673D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Oś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priorytetowa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VII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Sprawne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usługi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publiczne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,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Działanie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7.3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Infrastruktura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zdrowotna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i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społeczna</w:t>
    </w:r>
    <w:proofErr w:type="spellEnd"/>
  </w:p>
  <w:p w14:paraId="07956CF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</w:p>
  <w:p w14:paraId="0A824FD2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</w:t>
    </w:r>
  </w:p>
  <w:p w14:paraId="4509D406" w14:textId="00A0FC72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bCs/>
        <w:i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„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Rozbudowa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i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doposażenie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na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potrzeby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Kliniki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Kardiochirurgii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Wojewódzkiego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Szpitala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Zespolonego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w </w:t>
    </w:r>
    <w:proofErr w:type="spellStart"/>
    <w:r w:rsidRPr="00262141">
      <w:rPr>
        <w:rFonts w:ascii="Arial" w:eastAsia="Lucida Sans Unicode" w:hAnsi="Arial" w:cs="Arial"/>
        <w:sz w:val="18"/>
        <w:szCs w:val="18"/>
        <w:lang w:val="de-DE"/>
      </w:rPr>
      <w:t>Kielcach</w:t>
    </w:r>
    <w:proofErr w:type="spellEnd"/>
    <w:r w:rsidRPr="00262141">
      <w:rPr>
        <w:rFonts w:ascii="Arial" w:eastAsia="Lucida Sans Unicode" w:hAnsi="Arial" w:cs="Arial"/>
        <w:sz w:val="18"/>
        <w:szCs w:val="18"/>
        <w:lang w:val="de-DE"/>
      </w:rPr>
      <w:t>”</w:t>
    </w:r>
  </w:p>
  <w:p w14:paraId="1AF8CECD" w14:textId="77777777" w:rsidR="00262141" w:rsidRPr="00262141" w:rsidRDefault="00262141" w:rsidP="0026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17"/>
    <w:multiLevelType w:val="hybridMultilevel"/>
    <w:tmpl w:val="71C4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859CC"/>
    <w:rsid w:val="00090B75"/>
    <w:rsid w:val="0009145A"/>
    <w:rsid w:val="0011724D"/>
    <w:rsid w:val="00142BEA"/>
    <w:rsid w:val="001C50AB"/>
    <w:rsid w:val="001C6424"/>
    <w:rsid w:val="00201DFC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2F2438"/>
    <w:rsid w:val="00354478"/>
    <w:rsid w:val="003728FE"/>
    <w:rsid w:val="00383C1D"/>
    <w:rsid w:val="003A6CB4"/>
    <w:rsid w:val="003B2D8C"/>
    <w:rsid w:val="003E622A"/>
    <w:rsid w:val="00433553"/>
    <w:rsid w:val="00474013"/>
    <w:rsid w:val="004941B7"/>
    <w:rsid w:val="004B5CC4"/>
    <w:rsid w:val="004C0208"/>
    <w:rsid w:val="004C5A29"/>
    <w:rsid w:val="004E5BA1"/>
    <w:rsid w:val="005720F2"/>
    <w:rsid w:val="005C6D4F"/>
    <w:rsid w:val="005E3365"/>
    <w:rsid w:val="005F208B"/>
    <w:rsid w:val="005F3A56"/>
    <w:rsid w:val="00607EA3"/>
    <w:rsid w:val="00617A80"/>
    <w:rsid w:val="006E0B2E"/>
    <w:rsid w:val="006E4458"/>
    <w:rsid w:val="006E7BA4"/>
    <w:rsid w:val="006F3B4F"/>
    <w:rsid w:val="00705DA5"/>
    <w:rsid w:val="007175D7"/>
    <w:rsid w:val="00792B22"/>
    <w:rsid w:val="007A6C12"/>
    <w:rsid w:val="007D414E"/>
    <w:rsid w:val="00835BA0"/>
    <w:rsid w:val="008E2635"/>
    <w:rsid w:val="008E5E83"/>
    <w:rsid w:val="00933EFC"/>
    <w:rsid w:val="009426C6"/>
    <w:rsid w:val="0094404F"/>
    <w:rsid w:val="00945C38"/>
    <w:rsid w:val="009A7A3E"/>
    <w:rsid w:val="00A214AD"/>
    <w:rsid w:val="00A23354"/>
    <w:rsid w:val="00A26981"/>
    <w:rsid w:val="00A529B4"/>
    <w:rsid w:val="00A839D5"/>
    <w:rsid w:val="00A841FA"/>
    <w:rsid w:val="00AF77CD"/>
    <w:rsid w:val="00B35898"/>
    <w:rsid w:val="00B74433"/>
    <w:rsid w:val="00B9768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9192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8</cp:revision>
  <dcterms:created xsi:type="dcterms:W3CDTF">2020-10-29T10:54:00Z</dcterms:created>
  <dcterms:modified xsi:type="dcterms:W3CDTF">2020-11-24T09:26:00Z</dcterms:modified>
</cp:coreProperties>
</file>