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8B3F3" w14:textId="4CFFD770" w:rsidR="009F3BCF" w:rsidRPr="009F3BCF" w:rsidRDefault="009F3BCF" w:rsidP="009F3BCF">
      <w:pPr>
        <w:pStyle w:val="Nagwek4"/>
        <w:rPr>
          <w:rFonts w:ascii="Times New Roman" w:hAnsi="Times New Roman"/>
          <w:i w:val="0"/>
          <w:color w:val="auto"/>
          <w:szCs w:val="24"/>
        </w:rPr>
      </w:pPr>
      <w:r w:rsidRPr="009F3BCF">
        <w:rPr>
          <w:rFonts w:ascii="Times New Roman" w:hAnsi="Times New Roman"/>
          <w:b/>
          <w:i w:val="0"/>
          <w:color w:val="auto"/>
          <w:szCs w:val="24"/>
        </w:rPr>
        <w:t>EZ/ZP/188/2020/RI</w:t>
      </w:r>
      <w:r w:rsidRPr="009F3BCF">
        <w:rPr>
          <w:rFonts w:ascii="Times New Roman" w:hAnsi="Times New Roman"/>
          <w:b/>
          <w:i w:val="0"/>
          <w:color w:val="auto"/>
          <w:szCs w:val="24"/>
        </w:rPr>
        <w:tab/>
      </w:r>
      <w:r w:rsidRPr="009F3BCF">
        <w:rPr>
          <w:rFonts w:ascii="Times New Roman" w:hAnsi="Times New Roman"/>
          <w:b/>
          <w:i w:val="0"/>
          <w:color w:val="auto"/>
          <w:szCs w:val="24"/>
        </w:rPr>
        <w:tab/>
      </w:r>
      <w:r w:rsidRPr="009F3BCF">
        <w:rPr>
          <w:rFonts w:ascii="Times New Roman" w:hAnsi="Times New Roman"/>
          <w:b/>
          <w:i w:val="0"/>
          <w:color w:val="auto"/>
          <w:szCs w:val="24"/>
        </w:rPr>
        <w:tab/>
      </w:r>
      <w:r w:rsidRPr="009F3BCF">
        <w:rPr>
          <w:rFonts w:ascii="Times New Roman" w:hAnsi="Times New Roman"/>
          <w:b/>
          <w:i w:val="0"/>
          <w:color w:val="auto"/>
          <w:szCs w:val="24"/>
        </w:rPr>
        <w:tab/>
      </w:r>
      <w:r w:rsidRPr="009F3BCF">
        <w:rPr>
          <w:rFonts w:ascii="Times New Roman" w:hAnsi="Times New Roman"/>
          <w:b/>
          <w:i w:val="0"/>
          <w:color w:val="auto"/>
          <w:szCs w:val="24"/>
        </w:rPr>
        <w:tab/>
      </w:r>
      <w:r w:rsidRPr="009F3BCF">
        <w:rPr>
          <w:rFonts w:ascii="Times New Roman" w:hAnsi="Times New Roman"/>
          <w:b/>
          <w:i w:val="0"/>
          <w:color w:val="auto"/>
          <w:szCs w:val="24"/>
        </w:rPr>
        <w:tab/>
      </w:r>
      <w:r w:rsidRPr="009F3BCF">
        <w:rPr>
          <w:rFonts w:ascii="Times New Roman" w:hAnsi="Times New Roman"/>
          <w:b/>
          <w:i w:val="0"/>
          <w:color w:val="auto"/>
          <w:szCs w:val="24"/>
        </w:rPr>
        <w:tab/>
      </w:r>
      <w:r w:rsidRPr="009F3BCF">
        <w:rPr>
          <w:rFonts w:ascii="Times New Roman" w:hAnsi="Times New Roman"/>
          <w:b/>
          <w:i w:val="0"/>
          <w:color w:val="auto"/>
          <w:szCs w:val="24"/>
        </w:rPr>
        <w:tab/>
      </w:r>
      <w:r w:rsidRPr="009F3BCF">
        <w:rPr>
          <w:rFonts w:ascii="Times New Roman" w:hAnsi="Times New Roman"/>
          <w:b/>
          <w:i w:val="0"/>
          <w:color w:val="auto"/>
          <w:szCs w:val="24"/>
        </w:rPr>
        <w:tab/>
      </w:r>
      <w:r w:rsidRPr="009F3BCF">
        <w:rPr>
          <w:rFonts w:ascii="Times New Roman" w:hAnsi="Times New Roman"/>
          <w:b/>
          <w:i w:val="0"/>
          <w:color w:val="auto"/>
          <w:szCs w:val="24"/>
        </w:rPr>
        <w:tab/>
      </w:r>
      <w:r w:rsidRPr="009F3BCF">
        <w:rPr>
          <w:rFonts w:ascii="Times New Roman" w:hAnsi="Times New Roman"/>
          <w:b/>
          <w:i w:val="0"/>
          <w:color w:val="auto"/>
          <w:szCs w:val="24"/>
        </w:rPr>
        <w:tab/>
      </w:r>
      <w:r w:rsidRPr="009F3BCF">
        <w:rPr>
          <w:rFonts w:ascii="Times New Roman" w:hAnsi="Times New Roman"/>
          <w:b/>
          <w:i w:val="0"/>
          <w:color w:val="auto"/>
          <w:szCs w:val="24"/>
        </w:rPr>
        <w:tab/>
      </w:r>
      <w:r w:rsidRPr="009F3BCF">
        <w:rPr>
          <w:rFonts w:ascii="Times New Roman" w:hAnsi="Times New Roman"/>
          <w:b/>
          <w:i w:val="0"/>
          <w:color w:val="auto"/>
          <w:szCs w:val="24"/>
        </w:rPr>
        <w:tab/>
      </w:r>
      <w:r w:rsidRPr="009F3BCF">
        <w:rPr>
          <w:rFonts w:ascii="Times New Roman" w:hAnsi="Times New Roman"/>
          <w:b/>
          <w:i w:val="0"/>
          <w:color w:val="auto"/>
          <w:szCs w:val="24"/>
        </w:rPr>
        <w:tab/>
      </w:r>
      <w:r w:rsidR="00115A8B" w:rsidRPr="009F3BCF">
        <w:rPr>
          <w:rFonts w:ascii="Times New Roman" w:hAnsi="Times New Roman"/>
          <w:b/>
          <w:i w:val="0"/>
          <w:color w:val="auto"/>
          <w:szCs w:val="24"/>
        </w:rPr>
        <w:t>Załącznik nr 2 do SIWZ</w:t>
      </w:r>
      <w:r>
        <w:rPr>
          <w:rFonts w:ascii="Times New Roman" w:hAnsi="Times New Roman"/>
          <w:i w:val="0"/>
          <w:color w:val="auto"/>
          <w:szCs w:val="24"/>
        </w:rPr>
        <w:tab/>
      </w:r>
      <w:r>
        <w:rPr>
          <w:rFonts w:ascii="Times New Roman" w:hAnsi="Times New Roman"/>
          <w:i w:val="0"/>
          <w:color w:val="auto"/>
          <w:szCs w:val="24"/>
        </w:rPr>
        <w:tab/>
      </w:r>
      <w:r>
        <w:rPr>
          <w:rFonts w:ascii="Times New Roman" w:hAnsi="Times New Roman"/>
          <w:i w:val="0"/>
          <w:color w:val="auto"/>
          <w:szCs w:val="24"/>
        </w:rPr>
        <w:tab/>
      </w:r>
      <w:r>
        <w:rPr>
          <w:rFonts w:ascii="Times New Roman" w:hAnsi="Times New Roman"/>
          <w:i w:val="0"/>
          <w:color w:val="auto"/>
          <w:szCs w:val="24"/>
        </w:rPr>
        <w:tab/>
      </w:r>
      <w:r>
        <w:rPr>
          <w:rFonts w:ascii="Times New Roman" w:hAnsi="Times New Roman"/>
          <w:i w:val="0"/>
          <w:color w:val="auto"/>
          <w:szCs w:val="24"/>
        </w:rPr>
        <w:tab/>
      </w:r>
      <w:r>
        <w:rPr>
          <w:rFonts w:ascii="Times New Roman" w:hAnsi="Times New Roman"/>
          <w:i w:val="0"/>
          <w:color w:val="auto"/>
          <w:szCs w:val="24"/>
        </w:rPr>
        <w:tab/>
      </w:r>
      <w:r>
        <w:rPr>
          <w:rFonts w:ascii="Times New Roman" w:hAnsi="Times New Roman"/>
          <w:i w:val="0"/>
          <w:color w:val="auto"/>
          <w:szCs w:val="24"/>
        </w:rPr>
        <w:tab/>
      </w:r>
      <w:r>
        <w:rPr>
          <w:rFonts w:ascii="Times New Roman" w:hAnsi="Times New Roman"/>
          <w:i w:val="0"/>
          <w:color w:val="auto"/>
          <w:szCs w:val="24"/>
        </w:rPr>
        <w:tab/>
      </w:r>
      <w:r>
        <w:rPr>
          <w:rFonts w:ascii="Times New Roman" w:hAnsi="Times New Roman"/>
          <w:i w:val="0"/>
          <w:color w:val="auto"/>
          <w:szCs w:val="24"/>
        </w:rPr>
        <w:tab/>
      </w:r>
      <w:r>
        <w:rPr>
          <w:rFonts w:ascii="Times New Roman" w:hAnsi="Times New Roman"/>
          <w:i w:val="0"/>
          <w:color w:val="auto"/>
          <w:szCs w:val="24"/>
        </w:rPr>
        <w:tab/>
      </w:r>
      <w:r>
        <w:rPr>
          <w:rFonts w:ascii="Times New Roman" w:hAnsi="Times New Roman"/>
          <w:i w:val="0"/>
          <w:color w:val="auto"/>
          <w:szCs w:val="24"/>
        </w:rPr>
        <w:tab/>
      </w:r>
      <w:r>
        <w:rPr>
          <w:rFonts w:ascii="Times New Roman" w:hAnsi="Times New Roman"/>
          <w:i w:val="0"/>
          <w:color w:val="auto"/>
          <w:szCs w:val="24"/>
        </w:rPr>
        <w:tab/>
      </w:r>
      <w:r>
        <w:rPr>
          <w:rFonts w:ascii="Times New Roman" w:hAnsi="Times New Roman"/>
          <w:i w:val="0"/>
          <w:color w:val="auto"/>
          <w:szCs w:val="24"/>
        </w:rPr>
        <w:tab/>
      </w:r>
      <w:r>
        <w:rPr>
          <w:rFonts w:ascii="Times New Roman" w:hAnsi="Times New Roman"/>
          <w:i w:val="0"/>
          <w:color w:val="auto"/>
          <w:szCs w:val="24"/>
        </w:rPr>
        <w:tab/>
      </w:r>
      <w:r>
        <w:rPr>
          <w:rFonts w:ascii="Times New Roman" w:hAnsi="Times New Roman"/>
          <w:i w:val="0"/>
          <w:color w:val="auto"/>
          <w:szCs w:val="24"/>
        </w:rPr>
        <w:tab/>
      </w:r>
      <w:r>
        <w:rPr>
          <w:rFonts w:ascii="Times New Roman" w:hAnsi="Times New Roman"/>
          <w:i w:val="0"/>
          <w:color w:val="auto"/>
          <w:szCs w:val="24"/>
        </w:rPr>
        <w:tab/>
      </w:r>
      <w:r w:rsidRPr="009F3BCF">
        <w:rPr>
          <w:rFonts w:ascii="Times New Roman" w:hAnsi="Times New Roman"/>
          <w:color w:val="auto"/>
          <w:szCs w:val="24"/>
        </w:rPr>
        <w:t>(Załącznik nr 1 do umowy)</w:t>
      </w:r>
    </w:p>
    <w:p w14:paraId="4C7AEB63" w14:textId="77777777" w:rsidR="00115A8B" w:rsidRDefault="00115A8B" w:rsidP="00CA13AC">
      <w:pPr>
        <w:pStyle w:val="Nagwek"/>
        <w:jc w:val="center"/>
        <w:rPr>
          <w:b/>
          <w:bCs/>
          <w:sz w:val="32"/>
          <w:szCs w:val="32"/>
        </w:rPr>
      </w:pPr>
    </w:p>
    <w:p w14:paraId="0B1D446A" w14:textId="77777777" w:rsidR="007419D8" w:rsidRDefault="007419D8" w:rsidP="00321316">
      <w:pPr>
        <w:tabs>
          <w:tab w:val="left" w:pos="3261"/>
        </w:tabs>
        <w:spacing w:before="0" w:line="36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Opis przedmiotu zamówienia</w:t>
      </w:r>
    </w:p>
    <w:p w14:paraId="22A5055D" w14:textId="47D0D935" w:rsidR="00321316" w:rsidRDefault="007419D8" w:rsidP="00321316">
      <w:pPr>
        <w:tabs>
          <w:tab w:val="left" w:pos="3261"/>
        </w:tabs>
        <w:spacing w:before="0" w:line="36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(Parametry </w:t>
      </w:r>
      <w:proofErr w:type="spellStart"/>
      <w:r>
        <w:rPr>
          <w:rFonts w:ascii="Times New Roman" w:hAnsi="Times New Roman"/>
          <w:b/>
          <w:sz w:val="28"/>
          <w:szCs w:val="28"/>
        </w:rPr>
        <w:t>techniczno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eksploatacyjne</w:t>
      </w:r>
      <w:r w:rsidR="00321316" w:rsidRPr="00321316">
        <w:rPr>
          <w:rFonts w:ascii="Times New Roman" w:hAnsi="Times New Roman"/>
          <w:b/>
          <w:sz w:val="28"/>
          <w:szCs w:val="28"/>
        </w:rPr>
        <w:t xml:space="preserve"> zestawów komputerowych</w:t>
      </w:r>
      <w:r>
        <w:rPr>
          <w:rFonts w:ascii="Times New Roman" w:hAnsi="Times New Roman"/>
          <w:b/>
          <w:sz w:val="28"/>
          <w:szCs w:val="28"/>
        </w:rPr>
        <w:t>)</w:t>
      </w:r>
      <w:bookmarkStart w:id="0" w:name="_GoBack"/>
      <w:bookmarkEnd w:id="0"/>
    </w:p>
    <w:p w14:paraId="3229B12E" w14:textId="77777777" w:rsidR="007419D8" w:rsidRPr="009F3BCF" w:rsidRDefault="007419D8" w:rsidP="00321316">
      <w:pPr>
        <w:tabs>
          <w:tab w:val="left" w:pos="3261"/>
        </w:tabs>
        <w:spacing w:before="0" w:line="360" w:lineRule="auto"/>
        <w:ind w:right="0"/>
        <w:jc w:val="center"/>
        <w:rPr>
          <w:rFonts w:ascii="Times New Roman" w:hAnsi="Times New Roman"/>
          <w:b/>
          <w:sz w:val="16"/>
          <w:szCs w:val="16"/>
        </w:rPr>
      </w:pPr>
    </w:p>
    <w:p w14:paraId="2FCB96CE" w14:textId="77777777" w:rsidR="00567AD4" w:rsidRDefault="00567AD4" w:rsidP="00567AD4">
      <w:pPr>
        <w:tabs>
          <w:tab w:val="left" w:pos="3261"/>
        </w:tabs>
        <w:spacing w:before="0" w:line="360" w:lineRule="auto"/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Producent komputerów: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...................................................................</w:t>
      </w:r>
    </w:p>
    <w:p w14:paraId="30652465" w14:textId="77777777" w:rsidR="00567AD4" w:rsidRDefault="00567AD4" w:rsidP="00567AD4">
      <w:pPr>
        <w:tabs>
          <w:tab w:val="left" w:pos="3261"/>
        </w:tabs>
        <w:spacing w:before="0"/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Model/Symbol komputera: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...................................................................</w:t>
      </w:r>
    </w:p>
    <w:p w14:paraId="3331FC13" w14:textId="77777777" w:rsidR="00567AD4" w:rsidRPr="009F3BCF" w:rsidRDefault="00567AD4" w:rsidP="00567AD4">
      <w:pPr>
        <w:tabs>
          <w:tab w:val="left" w:pos="3261"/>
        </w:tabs>
        <w:spacing w:before="0"/>
        <w:ind w:right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928"/>
        <w:gridCol w:w="1958"/>
        <w:gridCol w:w="1960"/>
        <w:gridCol w:w="4197"/>
      </w:tblGrid>
      <w:tr w:rsidR="00567AD4" w14:paraId="0EB1FB1B" w14:textId="77777777" w:rsidTr="00257647">
        <w:trPr>
          <w:cantSplit/>
          <w:trHeight w:val="566"/>
        </w:trPr>
        <w:tc>
          <w:tcPr>
            <w:tcW w:w="178" w:type="pct"/>
            <w:vAlign w:val="center"/>
          </w:tcPr>
          <w:p w14:paraId="1FA04663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035" w:type="pct"/>
            <w:vAlign w:val="center"/>
          </w:tcPr>
          <w:p w14:paraId="62B90381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Konfiguracja minimalna</w:t>
            </w:r>
          </w:p>
        </w:tc>
        <w:tc>
          <w:tcPr>
            <w:tcW w:w="672" w:type="pct"/>
            <w:vAlign w:val="center"/>
          </w:tcPr>
          <w:p w14:paraId="6EC846E6" w14:textId="77777777" w:rsidR="00567AD4" w:rsidRDefault="00567AD4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Potwierdzenie spełnienia konfiguracji minimalnej</w:t>
            </w:r>
            <w:r w:rsidR="003D6BA9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73" w:type="pct"/>
            <w:vAlign w:val="center"/>
          </w:tcPr>
          <w:p w14:paraId="1454D9FF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Producent / </w:t>
            </w:r>
            <w:r>
              <w:rPr>
                <w:rFonts w:ascii="Times New Roman" w:hAnsi="Times New Roman"/>
                <w:b/>
              </w:rPr>
              <w:br/>
              <w:t>typ urządzenia</w:t>
            </w:r>
          </w:p>
        </w:tc>
        <w:tc>
          <w:tcPr>
            <w:tcW w:w="1441" w:type="pct"/>
            <w:vAlign w:val="center"/>
          </w:tcPr>
          <w:p w14:paraId="163BC99B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Oferowane warunki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i/>
              </w:rPr>
              <w:t>(należy podać rzeczywiste parametry,</w:t>
            </w:r>
            <w:r>
              <w:rPr>
                <w:rFonts w:ascii="Times New Roman" w:hAnsi="Times New Roman"/>
                <w:i/>
              </w:rPr>
              <w:br/>
              <w:t>jakimi charakteryzuje się sprzęt</w:t>
            </w:r>
            <w:r w:rsidR="007466A2">
              <w:rPr>
                <w:rFonts w:ascii="Times New Roman" w:hAnsi="Times New Roman"/>
                <w:i/>
              </w:rPr>
              <w:t>/oprogramowanie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567AD4" w14:paraId="5CE35F05" w14:textId="77777777" w:rsidTr="00257647">
        <w:trPr>
          <w:cantSplit/>
          <w:trHeight w:val="2130"/>
        </w:trPr>
        <w:tc>
          <w:tcPr>
            <w:tcW w:w="178" w:type="pct"/>
            <w:vAlign w:val="center"/>
          </w:tcPr>
          <w:p w14:paraId="5CFAEC56" w14:textId="77777777"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shd w:val="clear" w:color="auto" w:fill="auto"/>
            <w:vAlign w:val="center"/>
          </w:tcPr>
          <w:p w14:paraId="21497B8E" w14:textId="309A5F13" w:rsidR="00567AD4" w:rsidRPr="007466A2" w:rsidRDefault="00567AD4" w:rsidP="007F5FB1">
            <w:pPr>
              <w:pStyle w:val="Akapitzlist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Wydajność obliczeniowa - procesor powinien osiągać w teście wydajności </w:t>
            </w:r>
            <w:proofErr w:type="spellStart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PerformanceTest</w:t>
            </w:r>
            <w:proofErr w:type="spellEnd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(wynik dostępny: http://www.passmark.com/products/pt.htm) co najmniej wynik </w:t>
            </w:r>
            <w:r w:rsidR="007F5FB1">
              <w:rPr>
                <w:rFonts w:ascii="Times New Roman" w:hAnsi="Times New Roman"/>
                <w:color w:val="FF0000"/>
                <w:sz w:val="20"/>
                <w:szCs w:val="20"/>
              </w:rPr>
              <w:t>9500</w:t>
            </w: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punktów </w:t>
            </w:r>
            <w:proofErr w:type="spellStart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CPU Mark. Zamawiający zastrzega sobie, iż w celu sprawdzenia poprawności przeprowadzenia testu Oferent</w:t>
            </w:r>
            <w:r w:rsidR="007066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żądanie </w:t>
            </w:r>
            <w:r w:rsidR="00FD5649">
              <w:rPr>
                <w:rFonts w:ascii="Times New Roman" w:hAnsi="Times New Roman"/>
                <w:color w:val="000000"/>
                <w:sz w:val="20"/>
                <w:szCs w:val="20"/>
              </w:rPr>
              <w:t>Zamawiającego</w:t>
            </w: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672" w:type="pct"/>
            <w:vAlign w:val="center"/>
          </w:tcPr>
          <w:p w14:paraId="1B15C809" w14:textId="77777777" w:rsidR="00567AD4" w:rsidRDefault="00567AD4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2DA7C5C1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center"/>
          </w:tcPr>
          <w:p w14:paraId="185A57B4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7AD4" w14:paraId="36CB5CA7" w14:textId="77777777" w:rsidTr="00257647">
        <w:trPr>
          <w:cantSplit/>
          <w:trHeight w:val="67"/>
        </w:trPr>
        <w:tc>
          <w:tcPr>
            <w:tcW w:w="178" w:type="pct"/>
            <w:vAlign w:val="center"/>
          </w:tcPr>
          <w:p w14:paraId="19C1195C" w14:textId="77777777"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1FF6B065" w14:textId="77777777" w:rsidR="00567AD4" w:rsidRPr="007466A2" w:rsidRDefault="000D1D47" w:rsidP="000D1D47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</w:rPr>
              <w:t>Parametry pamięci masowej: m</w:t>
            </w:r>
            <w:r w:rsidR="00567AD4" w:rsidRPr="007466A2">
              <w:rPr>
                <w:rFonts w:ascii="Times New Roman" w:hAnsi="Times New Roman"/>
                <w:color w:val="000000"/>
                <w:sz w:val="20"/>
              </w:rPr>
              <w:t xml:space="preserve">in. 256 GB SSD, </w:t>
            </w:r>
            <w:r w:rsidR="00567AD4" w:rsidRPr="007466A2">
              <w:rPr>
                <w:rFonts w:ascii="Times New Roman" w:hAnsi="Times New Roman"/>
                <w:bCs/>
                <w:sz w:val="20"/>
                <w:lang w:eastAsia="en-US"/>
              </w:rPr>
              <w:t>zawierający partycję RECOVERY umożliwiającą odtworzenie systemu operacyjnego fabrycznie zainstalowanego na komputerze po awarii bez dodatkowych nośników</w:t>
            </w:r>
          </w:p>
        </w:tc>
        <w:tc>
          <w:tcPr>
            <w:tcW w:w="672" w:type="pct"/>
            <w:vAlign w:val="center"/>
          </w:tcPr>
          <w:p w14:paraId="55D9E197" w14:textId="77777777" w:rsidR="00567AD4" w:rsidRDefault="000D1D47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22B041F6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center"/>
          </w:tcPr>
          <w:p w14:paraId="5EDF479E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7AD4" w14:paraId="6274F5AC" w14:textId="77777777" w:rsidTr="00257647">
        <w:trPr>
          <w:cantSplit/>
          <w:trHeight w:val="567"/>
        </w:trPr>
        <w:tc>
          <w:tcPr>
            <w:tcW w:w="178" w:type="pct"/>
            <w:vAlign w:val="center"/>
          </w:tcPr>
          <w:p w14:paraId="32AE4DDB" w14:textId="77777777"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63EDA692" w14:textId="77777777" w:rsidR="00567AD4" w:rsidRPr="007466A2" w:rsidRDefault="00567AD4" w:rsidP="000D1D47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</w:rPr>
              <w:t>Pamięć operacyjna: 8 GB DDR4 2666 MHz możliwość rozbudowy do min 32 GB</w:t>
            </w:r>
          </w:p>
        </w:tc>
        <w:tc>
          <w:tcPr>
            <w:tcW w:w="672" w:type="pct"/>
            <w:vAlign w:val="center"/>
          </w:tcPr>
          <w:p w14:paraId="2F1C0AFA" w14:textId="77777777" w:rsidR="00567AD4" w:rsidRDefault="000D1D47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61DDEDCA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center"/>
          </w:tcPr>
          <w:p w14:paraId="19F8377A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7AD4" w14:paraId="63899FD9" w14:textId="77777777" w:rsidTr="00257647">
        <w:trPr>
          <w:cantSplit/>
          <w:trHeight w:val="567"/>
        </w:trPr>
        <w:tc>
          <w:tcPr>
            <w:tcW w:w="178" w:type="pct"/>
            <w:vAlign w:val="center"/>
          </w:tcPr>
          <w:p w14:paraId="3C01A3B9" w14:textId="77777777"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25F2BAB0" w14:textId="77777777" w:rsidR="00567AD4" w:rsidRPr="007466A2" w:rsidRDefault="00567AD4" w:rsidP="000D1D47">
            <w:pPr>
              <w:spacing w:before="0"/>
              <w:ind w:right="0"/>
              <w:rPr>
                <w:rFonts w:ascii="Times New Roman" w:hAnsi="Times New Roman"/>
                <w:color w:val="000000"/>
                <w:sz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</w:rPr>
              <w:t xml:space="preserve">Wydajność grafiki: Grafika zintegrowana z procesorem powinna umożliwiać pracę na 2 monitorach  ze wsparciem dla DirectX 12, Open CL 2.0, </w:t>
            </w:r>
            <w:proofErr w:type="spellStart"/>
            <w:r w:rsidRPr="007466A2">
              <w:rPr>
                <w:rFonts w:ascii="Times New Roman" w:hAnsi="Times New Roman"/>
                <w:color w:val="000000"/>
                <w:sz w:val="20"/>
              </w:rPr>
              <w:t>OpenGL</w:t>
            </w:r>
            <w:proofErr w:type="spellEnd"/>
            <w:r w:rsidRPr="007466A2">
              <w:rPr>
                <w:rFonts w:ascii="Times New Roman" w:hAnsi="Times New Roman"/>
                <w:color w:val="000000"/>
                <w:sz w:val="20"/>
              </w:rPr>
              <w:t xml:space="preserve"> 4.4 – z możliwością dynamicznego przydzielenia pamięci.</w:t>
            </w:r>
          </w:p>
        </w:tc>
        <w:tc>
          <w:tcPr>
            <w:tcW w:w="672" w:type="pct"/>
            <w:vAlign w:val="center"/>
          </w:tcPr>
          <w:p w14:paraId="6BF0BA8A" w14:textId="77777777" w:rsidR="00567AD4" w:rsidRDefault="000D1D47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0D3140B7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center"/>
          </w:tcPr>
          <w:p w14:paraId="358C5445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7AD4" w14:paraId="0A034781" w14:textId="77777777" w:rsidTr="00257647">
        <w:trPr>
          <w:cantSplit/>
          <w:trHeight w:val="567"/>
        </w:trPr>
        <w:tc>
          <w:tcPr>
            <w:tcW w:w="178" w:type="pct"/>
            <w:vAlign w:val="center"/>
          </w:tcPr>
          <w:p w14:paraId="31C63E4B" w14:textId="77777777"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1D50A3C2" w14:textId="77777777" w:rsidR="00567AD4" w:rsidRPr="007466A2" w:rsidRDefault="00567AD4" w:rsidP="000D1D4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Karta dźwiękowa zintegrowana z płytą główną, zgodna z High Definition,  porty słuchawek i mikrofonu na przednim oraz na tylnym panelu obudowy.</w:t>
            </w:r>
          </w:p>
        </w:tc>
        <w:tc>
          <w:tcPr>
            <w:tcW w:w="672" w:type="pct"/>
            <w:vAlign w:val="center"/>
          </w:tcPr>
          <w:p w14:paraId="39A6FB28" w14:textId="77777777" w:rsidR="00567AD4" w:rsidRDefault="000D1D47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55FDF16A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center"/>
          </w:tcPr>
          <w:p w14:paraId="0A235F14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7AD4" w14:paraId="602AB1D8" w14:textId="77777777" w:rsidTr="00257647">
        <w:trPr>
          <w:cantSplit/>
          <w:trHeight w:val="681"/>
        </w:trPr>
        <w:tc>
          <w:tcPr>
            <w:tcW w:w="178" w:type="pct"/>
            <w:vAlign w:val="center"/>
          </w:tcPr>
          <w:p w14:paraId="3ADACD0C" w14:textId="77777777"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76F90D23" w14:textId="77777777" w:rsidR="00567AD4" w:rsidRPr="007466A2" w:rsidRDefault="00567AD4" w:rsidP="00CA13AC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b/>
                <w:bCs/>
                <w:sz w:val="20"/>
              </w:rPr>
              <w:t>Obudowa:</w:t>
            </w:r>
          </w:p>
          <w:p w14:paraId="4B79F85E" w14:textId="77777777" w:rsidR="00567AD4" w:rsidRPr="007466A2" w:rsidRDefault="00567AD4" w:rsidP="00CA13AC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 xml:space="preserve">• </w:t>
            </w:r>
            <w:r w:rsidR="000D1D47" w:rsidRPr="007466A2">
              <w:rPr>
                <w:rFonts w:ascii="Times New Roman" w:hAnsi="Times New Roman"/>
                <w:sz w:val="20"/>
              </w:rPr>
              <w:t>t</w:t>
            </w:r>
            <w:r w:rsidRPr="007466A2">
              <w:rPr>
                <w:rFonts w:ascii="Times New Roman" w:hAnsi="Times New Roman"/>
                <w:sz w:val="20"/>
              </w:rPr>
              <w:t>ypu SFF z obsługą kart PCI Express wyłącznie o niskim profilu, wyposażona w min. 3 kieszenie: 1 szt. 5,25” zewnętrzna typu SLIM, 1 szt. 3,5”/2,5” wewnętrzna</w:t>
            </w:r>
          </w:p>
          <w:p w14:paraId="213A0358" w14:textId="77777777" w:rsidR="00567AD4" w:rsidRPr="007466A2" w:rsidRDefault="00567AD4" w:rsidP="00CA13AC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 xml:space="preserve">• </w:t>
            </w:r>
            <w:r w:rsidR="000D1D47" w:rsidRPr="007466A2">
              <w:rPr>
                <w:rFonts w:ascii="Times New Roman" w:hAnsi="Times New Roman"/>
                <w:sz w:val="20"/>
              </w:rPr>
              <w:t>z</w:t>
            </w:r>
            <w:r w:rsidRPr="007466A2">
              <w:rPr>
                <w:rFonts w:ascii="Times New Roman" w:hAnsi="Times New Roman"/>
                <w:sz w:val="20"/>
              </w:rPr>
              <w:t xml:space="preserve">asilacz o mocy minimum 200W pracujący w sieci 230V 50/60Hz prądu zmiennego i spełniający wymagania certyfikatu co najmniej 80 PLUS </w:t>
            </w:r>
            <w:proofErr w:type="spellStart"/>
            <w:r w:rsidRPr="007466A2">
              <w:rPr>
                <w:rFonts w:ascii="Times New Roman" w:hAnsi="Times New Roman"/>
                <w:sz w:val="20"/>
              </w:rPr>
              <w:t>Bronze</w:t>
            </w:r>
            <w:proofErr w:type="spellEnd"/>
            <w:r w:rsidRPr="007466A2">
              <w:rPr>
                <w:rFonts w:ascii="Times New Roman" w:hAnsi="Times New Roman"/>
                <w:sz w:val="20"/>
              </w:rPr>
              <w:t>.,</w:t>
            </w:r>
          </w:p>
          <w:p w14:paraId="499F0E9A" w14:textId="77777777" w:rsidR="00567AD4" w:rsidRPr="007466A2" w:rsidRDefault="00567AD4" w:rsidP="00CA13AC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 xml:space="preserve">• </w:t>
            </w:r>
            <w:r w:rsidR="000D1D47" w:rsidRPr="007466A2">
              <w:rPr>
                <w:rFonts w:ascii="Times New Roman" w:hAnsi="Times New Roman"/>
                <w:color w:val="000000"/>
                <w:sz w:val="20"/>
              </w:rPr>
              <w:t>w</w:t>
            </w:r>
            <w:r w:rsidRPr="007466A2">
              <w:rPr>
                <w:rFonts w:ascii="Times New Roman" w:hAnsi="Times New Roman"/>
                <w:color w:val="000000"/>
                <w:sz w:val="20"/>
              </w:rPr>
              <w:t xml:space="preserve"> celu szybkiej weryfikacji usterki w obudowę komputera musi być wbudowany akustyczny lub/i optyczny system diagnostyczny, służący do sygnalizowania i diagnozowania problemów z komputerem i jego komponentami;</w:t>
            </w:r>
          </w:p>
        </w:tc>
        <w:tc>
          <w:tcPr>
            <w:tcW w:w="672" w:type="pct"/>
            <w:vAlign w:val="center"/>
          </w:tcPr>
          <w:p w14:paraId="75FFF64B" w14:textId="77777777" w:rsidR="00567AD4" w:rsidRDefault="000D1D47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77989EF8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center"/>
          </w:tcPr>
          <w:p w14:paraId="35177686" w14:textId="77777777" w:rsidR="00567AD4" w:rsidRPr="00B6448C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67AD4" w14:paraId="6A6ADA65" w14:textId="77777777" w:rsidTr="00257647">
        <w:trPr>
          <w:cantSplit/>
          <w:trHeight w:val="1229"/>
        </w:trPr>
        <w:tc>
          <w:tcPr>
            <w:tcW w:w="178" w:type="pct"/>
            <w:vAlign w:val="center"/>
          </w:tcPr>
          <w:p w14:paraId="60F58A07" w14:textId="77777777"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46BD1139" w14:textId="77777777" w:rsidR="00567AD4" w:rsidRPr="007466A2" w:rsidRDefault="00567AD4" w:rsidP="000D1D47">
            <w:pPr>
              <w:spacing w:before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</w:rPr>
              <w:t xml:space="preserve">Oferowane modele komputerów muszą posiadać </w:t>
            </w:r>
            <w:r w:rsidR="000D1D47" w:rsidRPr="007466A2">
              <w:rPr>
                <w:rFonts w:ascii="Times New Roman" w:hAnsi="Times New Roman"/>
                <w:color w:val="000000"/>
                <w:sz w:val="20"/>
              </w:rPr>
              <w:t>certyfikat producenta oferowanego systemu operacyjnego</w:t>
            </w:r>
            <w:r w:rsidRPr="007466A2">
              <w:rPr>
                <w:rFonts w:ascii="Times New Roman" w:hAnsi="Times New Roman"/>
                <w:color w:val="000000"/>
                <w:sz w:val="20"/>
              </w:rPr>
              <w:t xml:space="preserve">, potwierdzający poprawną współpracę oferowanych modeli komputerów z </w:t>
            </w:r>
            <w:r w:rsidR="000D1D47" w:rsidRPr="007466A2">
              <w:rPr>
                <w:rFonts w:ascii="Times New Roman" w:hAnsi="Times New Roman"/>
                <w:color w:val="000000"/>
                <w:sz w:val="20"/>
              </w:rPr>
              <w:t>oferowanym systemem operacyjnym</w:t>
            </w:r>
            <w:r w:rsidR="00115A8B" w:rsidRPr="007466A2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72" w:type="pct"/>
            <w:vAlign w:val="center"/>
          </w:tcPr>
          <w:p w14:paraId="5E4A9A03" w14:textId="77777777" w:rsidR="00567AD4" w:rsidRDefault="000D1D47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6F034AEA" w14:textId="77777777" w:rsidR="00567AD4" w:rsidRDefault="003D6BA9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</w:t>
            </w:r>
          </w:p>
        </w:tc>
        <w:tc>
          <w:tcPr>
            <w:tcW w:w="1441" w:type="pct"/>
            <w:vAlign w:val="center"/>
          </w:tcPr>
          <w:p w14:paraId="6C5DED70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7AD4" w14:paraId="0A97FCF7" w14:textId="77777777" w:rsidTr="00257647">
        <w:trPr>
          <w:cantSplit/>
          <w:trHeight w:val="4586"/>
        </w:trPr>
        <w:tc>
          <w:tcPr>
            <w:tcW w:w="178" w:type="pct"/>
            <w:vAlign w:val="center"/>
          </w:tcPr>
          <w:p w14:paraId="20494682" w14:textId="77777777"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3622BFB2" w14:textId="77777777" w:rsidR="00567AD4" w:rsidRPr="007466A2" w:rsidRDefault="00567AD4" w:rsidP="00CA13AC">
            <w:pPr>
              <w:spacing w:before="0"/>
              <w:ind w:right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b/>
                <w:bCs/>
                <w:sz w:val="20"/>
              </w:rPr>
              <w:t>BIOS :</w:t>
            </w:r>
          </w:p>
          <w:p w14:paraId="6E20DAAA" w14:textId="77777777" w:rsidR="000D1D47" w:rsidRPr="007466A2" w:rsidRDefault="000D1D47" w:rsidP="00CA13AC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567AD4"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ożliwość, bez uruchamiania systemu operacyjnego z dysku twardego komputera lub innych podłączonych do niego urządzeń zewnętrznych odczytania z BIOS informacji o:</w:t>
            </w:r>
          </w:p>
          <w:p w14:paraId="7D71A523" w14:textId="77777777" w:rsidR="00567AD4" w:rsidRPr="007466A2" w:rsidRDefault="000D1D47" w:rsidP="000D1D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567AD4"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odelu komputera</w:t>
            </w:r>
          </w:p>
          <w:p w14:paraId="0BD939D0" w14:textId="77777777" w:rsidR="00567AD4" w:rsidRPr="007466A2" w:rsidRDefault="000D1D47" w:rsidP="00CA13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567AD4"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umerze seryjnym</w:t>
            </w:r>
          </w:p>
          <w:p w14:paraId="278B8B0C" w14:textId="77777777" w:rsidR="00567AD4" w:rsidRPr="007466A2" w:rsidRDefault="00567AD4" w:rsidP="00CA13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wersji BIOS,</w:t>
            </w:r>
          </w:p>
          <w:p w14:paraId="2F6224D3" w14:textId="77777777" w:rsidR="00567AD4" w:rsidRPr="007466A2" w:rsidRDefault="00567AD4" w:rsidP="00CA13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dacie produkcji BIOS</w:t>
            </w:r>
          </w:p>
          <w:p w14:paraId="632B87D8" w14:textId="77777777" w:rsidR="00567AD4" w:rsidRPr="007466A2" w:rsidRDefault="00567AD4" w:rsidP="00CA13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ilości, częstotliwości taktowania i sposobu obłożenia kanałów pamięciami RAM</w:t>
            </w:r>
          </w:p>
          <w:p w14:paraId="18075777" w14:textId="77777777" w:rsidR="00567AD4" w:rsidRPr="007466A2" w:rsidRDefault="00567AD4" w:rsidP="00CA13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modelu płyty głównej</w:t>
            </w:r>
          </w:p>
          <w:p w14:paraId="6CB33C94" w14:textId="77777777" w:rsidR="00567AD4" w:rsidRPr="007466A2" w:rsidRDefault="00567AD4" w:rsidP="00CA13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nazwie komputera</w:t>
            </w:r>
          </w:p>
          <w:p w14:paraId="3327FD7E" w14:textId="77777777" w:rsidR="00567AD4" w:rsidRPr="007466A2" w:rsidRDefault="00567AD4" w:rsidP="00CA13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typie procesora wraz z informacją o częstotliwości taktowania</w:t>
            </w:r>
          </w:p>
          <w:p w14:paraId="20348AD7" w14:textId="77777777" w:rsidR="00567AD4" w:rsidRPr="007466A2" w:rsidRDefault="00567AD4" w:rsidP="00CA13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producencie, modelu oraz pojemności zainstalowanego dysku twardego</w:t>
            </w:r>
          </w:p>
          <w:p w14:paraId="1ABF1933" w14:textId="77777777" w:rsidR="00567AD4" w:rsidRPr="007466A2" w:rsidRDefault="00567AD4" w:rsidP="00CA13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MAC adresie zintegrowanej karty sieciowej</w:t>
            </w:r>
          </w:p>
          <w:p w14:paraId="30366AC2" w14:textId="77777777"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</w:p>
          <w:p w14:paraId="32AA54EB" w14:textId="77777777"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w przypadku występowania funkcji automatycznej aktualizacji BIOS, musi istnieć możliwość jej wyłączenia</w:t>
            </w:r>
          </w:p>
          <w:p w14:paraId="4B8876F0" w14:textId="77777777"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możliwości aktualizacji BIOS-u w tym co najmniej: całkowite wyłączenie możliwości aktualizacji, możliwość aktualizacji za pomocą narzędzi producenta komputera</w:t>
            </w:r>
          </w:p>
          <w:p w14:paraId="4D47BE89" w14:textId="77777777"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możliwość włączania/wyłączania sprzętowego wsparcia wirtualizacji w procesorze</w:t>
            </w:r>
          </w:p>
          <w:p w14:paraId="54657672" w14:textId="77777777"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liczby aktywnych rdzeni procesora</w:t>
            </w:r>
          </w:p>
          <w:p w14:paraId="537DC3BD" w14:textId="77777777"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możliwość włączania/wyłączania technologii </w:t>
            </w:r>
            <w:proofErr w:type="spellStart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SpeedStep</w:t>
            </w:r>
            <w:proofErr w:type="spellEnd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Turbo</w:t>
            </w:r>
          </w:p>
          <w:p w14:paraId="1ACAF8B6" w14:textId="77777777"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możliwość monitorowania temperatury rdzenia procesora, obudowy procesora oraz temperatury wewnątrz obudowy komputera oraz prędkości obrotowej wentylatora. </w:t>
            </w:r>
          </w:p>
          <w:p w14:paraId="77B429CB" w14:textId="77777777"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funkcja blokowania/odblokowania BOOT-</w:t>
            </w:r>
            <w:proofErr w:type="spellStart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owania</w:t>
            </w:r>
            <w:proofErr w:type="spellEnd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stacji roboczej z zewnętrznych urządzeń</w:t>
            </w:r>
          </w:p>
          <w:p w14:paraId="55B43C1E" w14:textId="77777777"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możliwość ustawienia trybu pracy komputera po przywróceniu zasilania po awarii zasilania w co najmniej trzech trybach wyłączony, wyłączony, przywrócenie stanu z przed awarii</w:t>
            </w:r>
          </w:p>
          <w:p w14:paraId="7E732FF9" w14:textId="77777777"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możliwość, bez uruchamiania systemu operacyjnego z dysku twardego komputera lub innych, podłączonych do niego urządzeń zewnętrznych,  ustawienia hasła na poziomie systemu, administratora oraz dysku twardego (dla wszystkich rodzajów dysków twardych w tym dysków M.2).</w:t>
            </w:r>
          </w:p>
          <w:p w14:paraId="240464EF" w14:textId="77777777"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możliwość ustawienia poziomu zabezpieczenia BIOS-u za pomocą hasła co najmniej w sposób umożliwiający skasowanie hasła za pomocą zworki na płycie głównej</w:t>
            </w:r>
          </w:p>
          <w:p w14:paraId="57A0F9DE" w14:textId="77777777"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możliwość włączenia/wyłączenia zintegrowanej karty dźwiękowej, karty sieciowej, modułu TPM z poziomu BIOS, bez uruchamiania systemu operacyjnego z dysku twardego komputera lub innych, podłączonych do niego, urządzeń zewnętrznych</w:t>
            </w:r>
          </w:p>
          <w:p w14:paraId="559E99B5" w14:textId="77777777"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bootujących</w:t>
            </w:r>
            <w:proofErr w:type="spellEnd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typu USB, natomiast po uruchomieniu systemu operacyjnego porty USB są aktywne</w:t>
            </w:r>
          </w:p>
          <w:p w14:paraId="407B8959" w14:textId="77777777"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możliwość wyłączania portów USB w tym: wszystkich portów, tylko portów znajdujących się na przedzie obudowy, tylko tylnych portów, tylko zewnętrznych, wszystkich nieużywanych.</w:t>
            </w:r>
          </w:p>
        </w:tc>
        <w:tc>
          <w:tcPr>
            <w:tcW w:w="672" w:type="pct"/>
            <w:vAlign w:val="center"/>
          </w:tcPr>
          <w:p w14:paraId="5E50F7F1" w14:textId="77777777" w:rsidR="00567AD4" w:rsidRDefault="00361F79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TAK/NIE</w:t>
            </w:r>
          </w:p>
        </w:tc>
        <w:tc>
          <w:tcPr>
            <w:tcW w:w="673" w:type="pct"/>
            <w:vAlign w:val="center"/>
          </w:tcPr>
          <w:p w14:paraId="6344C5DF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14:paraId="6067D660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24358" w14:paraId="31E0B8C0" w14:textId="77777777" w:rsidTr="00257647">
        <w:trPr>
          <w:cantSplit/>
          <w:trHeight w:val="753"/>
        </w:trPr>
        <w:tc>
          <w:tcPr>
            <w:tcW w:w="178" w:type="pct"/>
            <w:vAlign w:val="center"/>
          </w:tcPr>
          <w:p w14:paraId="03D04C47" w14:textId="77777777" w:rsidR="00424358" w:rsidRDefault="00424358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690AEA46" w14:textId="77777777" w:rsidR="00424358" w:rsidRPr="007466A2" w:rsidRDefault="00424358" w:rsidP="00B04688">
            <w:pPr>
              <w:pStyle w:val="Akapitzlist"/>
              <w:ind w:left="28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>Głośność jednostki centralnej mierzona zgodnie z normą ISO 7779 oraz wykazana zgodnie z normą ISO 9296 w pozycji obserwatora w trybie jałowym (ID</w:t>
            </w:r>
            <w:r w:rsidR="00B04688" w:rsidRPr="007466A2">
              <w:rPr>
                <w:rFonts w:ascii="Times New Roman" w:hAnsi="Times New Roman"/>
                <w:sz w:val="20"/>
                <w:szCs w:val="20"/>
              </w:rPr>
              <w:t xml:space="preserve">LE) wynosząca maksymalnie 22dB </w:t>
            </w:r>
          </w:p>
        </w:tc>
        <w:tc>
          <w:tcPr>
            <w:tcW w:w="672" w:type="pct"/>
            <w:vAlign w:val="center"/>
          </w:tcPr>
          <w:p w14:paraId="62CA7F41" w14:textId="77777777" w:rsidR="00424358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0D80DC2C" w14:textId="77777777" w:rsidR="00424358" w:rsidRDefault="003D6BA9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</w:t>
            </w:r>
          </w:p>
        </w:tc>
        <w:tc>
          <w:tcPr>
            <w:tcW w:w="1441" w:type="pct"/>
            <w:vAlign w:val="bottom"/>
          </w:tcPr>
          <w:p w14:paraId="238B4B9E" w14:textId="77777777"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24358" w14:paraId="62141E1F" w14:textId="77777777" w:rsidTr="00257647">
        <w:trPr>
          <w:cantSplit/>
          <w:trHeight w:val="753"/>
        </w:trPr>
        <w:tc>
          <w:tcPr>
            <w:tcW w:w="178" w:type="pct"/>
            <w:vAlign w:val="center"/>
          </w:tcPr>
          <w:p w14:paraId="151C7B1D" w14:textId="77777777" w:rsidR="00424358" w:rsidRDefault="00424358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00ABC774" w14:textId="77777777"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b/>
                <w:bCs/>
                <w:sz w:val="20"/>
              </w:rPr>
              <w:t>Ergonomia:</w:t>
            </w:r>
          </w:p>
          <w:p w14:paraId="590F5E4B" w14:textId="77777777" w:rsidR="00424358" w:rsidRPr="007466A2" w:rsidRDefault="00424358" w:rsidP="00424358">
            <w:pPr>
              <w:pStyle w:val="Akapitzlist"/>
              <w:numPr>
                <w:ilvl w:val="0"/>
                <w:numId w:val="16"/>
              </w:numPr>
              <w:ind w:left="287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>obudowa w jednostce centralnej musi być otwierana bez konieczności użycia narzędzi (wyklucza się użycie standardowych wkrętów, śrub motylkowych)</w:t>
            </w:r>
            <w:r w:rsidRPr="007466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3DA14315" w14:textId="77777777" w:rsidR="00424358" w:rsidRPr="007466A2" w:rsidRDefault="00424358" w:rsidP="00424358">
            <w:pPr>
              <w:pStyle w:val="Akapitzlist"/>
              <w:numPr>
                <w:ilvl w:val="0"/>
                <w:numId w:val="16"/>
              </w:numPr>
              <w:ind w:left="287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 xml:space="preserve">obudowa musi umożliwiać zastosowanie zabezpieczenia fizycznego w postaci linki metalowej, kłódki (oczko w obudowie do założenia kłódki) </w:t>
            </w:r>
          </w:p>
          <w:p w14:paraId="6E9747C8" w14:textId="77777777" w:rsidR="00424358" w:rsidRPr="007466A2" w:rsidRDefault="00424358" w:rsidP="00424358">
            <w:pPr>
              <w:pStyle w:val="Akapitzlist"/>
              <w:numPr>
                <w:ilvl w:val="0"/>
                <w:numId w:val="16"/>
              </w:numPr>
              <w:ind w:left="287" w:hanging="284"/>
              <w:rPr>
                <w:rFonts w:ascii="Times New Roman" w:hAnsi="Times New Roman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>suma wymiarów obudowy (wysokość + szerokość + głębokość mierzona po krawędziach zewnętrznych) nie może wynosić więcej niż 700 mm.</w:t>
            </w:r>
          </w:p>
        </w:tc>
        <w:tc>
          <w:tcPr>
            <w:tcW w:w="672" w:type="pct"/>
            <w:vAlign w:val="center"/>
          </w:tcPr>
          <w:p w14:paraId="3CA9A49D" w14:textId="77777777" w:rsidR="00424358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531CF6AC" w14:textId="77777777" w:rsidR="00424358" w:rsidRDefault="003D6BA9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</w:t>
            </w:r>
          </w:p>
        </w:tc>
        <w:tc>
          <w:tcPr>
            <w:tcW w:w="1441" w:type="pct"/>
            <w:vAlign w:val="bottom"/>
          </w:tcPr>
          <w:p w14:paraId="193003F2" w14:textId="77777777"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24358" w14:paraId="2C735073" w14:textId="77777777" w:rsidTr="00257647">
        <w:trPr>
          <w:cantSplit/>
          <w:trHeight w:val="753"/>
        </w:trPr>
        <w:tc>
          <w:tcPr>
            <w:tcW w:w="178" w:type="pct"/>
            <w:vAlign w:val="center"/>
          </w:tcPr>
          <w:p w14:paraId="38D488D8" w14:textId="77777777" w:rsidR="00424358" w:rsidRDefault="00424358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4C928A6E" w14:textId="77777777" w:rsidR="00424358" w:rsidRPr="007466A2" w:rsidRDefault="00424358" w:rsidP="00B04688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 xml:space="preserve">System operacyjny - Microsoft Windows 10 Professional PL 64-bit  (lub równoważny – warunki równoważności został opisany </w:t>
            </w:r>
            <w:r w:rsidRPr="007466A2">
              <w:rPr>
                <w:rFonts w:ascii="Times New Roman" w:hAnsi="Times New Roman"/>
                <w:sz w:val="20"/>
                <w:highlight w:val="yellow"/>
              </w:rPr>
              <w:t xml:space="preserve">w załączniku </w:t>
            </w:r>
            <w:r w:rsidR="00B04688" w:rsidRPr="007466A2">
              <w:rPr>
                <w:rFonts w:ascii="Times New Roman" w:hAnsi="Times New Roman"/>
                <w:sz w:val="20"/>
              </w:rPr>
              <w:t>nr 2a do SIWZ</w:t>
            </w:r>
            <w:r w:rsidRPr="007466A2">
              <w:rPr>
                <w:rFonts w:ascii="Times New Roman" w:hAnsi="Times New Roman"/>
                <w:sz w:val="20"/>
              </w:rPr>
              <w:t>, zainstalowany system operacyjny niewymagający aktywacji za pomocą telefonu lub Internetu.</w:t>
            </w:r>
          </w:p>
        </w:tc>
        <w:tc>
          <w:tcPr>
            <w:tcW w:w="672" w:type="pct"/>
            <w:vAlign w:val="center"/>
          </w:tcPr>
          <w:p w14:paraId="2CD56E23" w14:textId="77777777" w:rsidR="00424358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12EEF5D5" w14:textId="77777777"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14:paraId="745999EF" w14:textId="77777777" w:rsidR="00424358" w:rsidRPr="00321316" w:rsidRDefault="003D6BA9" w:rsidP="00B04688">
            <w:pPr>
              <w:spacing w:before="0"/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w</w:t>
            </w:r>
            <w:r w:rsidR="00B04688" w:rsidRPr="003D6BA9">
              <w:rPr>
                <w:rFonts w:ascii="Times New Roman" w:hAnsi="Times New Roman"/>
                <w:i/>
                <w:sz w:val="20"/>
              </w:rPr>
              <w:t xml:space="preserve"> przypadki zaoferowania oprogramowani</w:t>
            </w:r>
            <w:r w:rsidR="001B2135" w:rsidRPr="003D6BA9">
              <w:rPr>
                <w:rFonts w:ascii="Times New Roman" w:hAnsi="Times New Roman"/>
                <w:i/>
                <w:sz w:val="20"/>
              </w:rPr>
              <w:t>a</w:t>
            </w:r>
            <w:r w:rsidR="00B04688" w:rsidRPr="003D6BA9">
              <w:rPr>
                <w:rFonts w:ascii="Times New Roman" w:hAnsi="Times New Roman"/>
                <w:i/>
                <w:sz w:val="20"/>
              </w:rPr>
              <w:t xml:space="preserve"> równoważnego do Microsoft Windows 10 Professional PL 64-bit Wykonawca winien załączyć do oferty szczegółowy opis </w:t>
            </w:r>
            <w:r w:rsidR="001B2135" w:rsidRPr="003D6BA9">
              <w:rPr>
                <w:rFonts w:ascii="Times New Roman" w:hAnsi="Times New Roman"/>
                <w:i/>
                <w:sz w:val="20"/>
              </w:rPr>
              <w:t>potwierdzający spełnienie</w:t>
            </w:r>
            <w:r w:rsidR="00B04688" w:rsidRPr="003D6BA9">
              <w:rPr>
                <w:rFonts w:ascii="Times New Roman" w:hAnsi="Times New Roman"/>
                <w:i/>
                <w:sz w:val="20"/>
              </w:rPr>
              <w:t xml:space="preserve"> warunków równoważności wskazanych w zał</w:t>
            </w:r>
            <w:r w:rsidR="001B2135" w:rsidRPr="003D6BA9">
              <w:rPr>
                <w:rFonts w:ascii="Times New Roman" w:hAnsi="Times New Roman"/>
                <w:i/>
                <w:sz w:val="20"/>
              </w:rPr>
              <w:t>.</w:t>
            </w:r>
            <w:r w:rsidR="00B04688" w:rsidRPr="003D6BA9">
              <w:rPr>
                <w:rFonts w:ascii="Times New Roman" w:hAnsi="Times New Roman"/>
                <w:i/>
                <w:sz w:val="20"/>
              </w:rPr>
              <w:t xml:space="preserve"> nr 2</w:t>
            </w:r>
            <w:r w:rsidR="00321316" w:rsidRPr="003D6BA9">
              <w:rPr>
                <w:rFonts w:ascii="Times New Roman" w:hAnsi="Times New Roman"/>
                <w:i/>
                <w:sz w:val="20"/>
              </w:rPr>
              <w:t>a</w:t>
            </w:r>
            <w:r w:rsidR="00B04688" w:rsidRPr="003D6BA9">
              <w:rPr>
                <w:rFonts w:ascii="Times New Roman" w:hAnsi="Times New Roman"/>
                <w:i/>
                <w:sz w:val="20"/>
              </w:rPr>
              <w:t xml:space="preserve"> do SIWZ</w:t>
            </w:r>
            <w:r w:rsidR="001B2135">
              <w:rPr>
                <w:rFonts w:ascii="Times New Roman" w:hAnsi="Times New Roman"/>
                <w:sz w:val="20"/>
              </w:rPr>
              <w:t>.</w:t>
            </w:r>
            <w:r w:rsidR="00B04688" w:rsidRPr="00321316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424358" w14:paraId="7B4AEBD3" w14:textId="77777777" w:rsidTr="00257647">
        <w:trPr>
          <w:cantSplit/>
          <w:trHeight w:val="753"/>
        </w:trPr>
        <w:tc>
          <w:tcPr>
            <w:tcW w:w="178" w:type="pct"/>
            <w:vAlign w:val="center"/>
          </w:tcPr>
          <w:p w14:paraId="5EE21189" w14:textId="77777777" w:rsidR="00424358" w:rsidRDefault="00424358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21C792BB" w14:textId="77777777"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Wbudowane porty minimalnie: 1 x DVI lub HDMI (zgodnie z zaoferowanym monitorem)</w:t>
            </w:r>
          </w:p>
          <w:p w14:paraId="0054E13C" w14:textId="77777777" w:rsidR="00424358" w:rsidRPr="007F5FB1" w:rsidRDefault="00424358" w:rsidP="00424358">
            <w:pPr>
              <w:spacing w:before="0"/>
              <w:ind w:right="0"/>
              <w:rPr>
                <w:rFonts w:ascii="Times New Roman" w:hAnsi="Times New Roman"/>
                <w:sz w:val="20"/>
                <w:lang w:val="en-US"/>
              </w:rPr>
            </w:pPr>
            <w:r w:rsidRPr="007F5FB1">
              <w:rPr>
                <w:rFonts w:ascii="Times New Roman" w:hAnsi="Times New Roman"/>
                <w:sz w:val="20"/>
                <w:lang w:val="en-US"/>
              </w:rPr>
              <w:t>- 1 x Display Port</w:t>
            </w:r>
          </w:p>
          <w:p w14:paraId="53517158" w14:textId="77777777" w:rsidR="00424358" w:rsidRPr="007F5FB1" w:rsidRDefault="00424358" w:rsidP="00424358">
            <w:pPr>
              <w:spacing w:before="0"/>
              <w:ind w:right="0"/>
              <w:rPr>
                <w:rFonts w:ascii="Times New Roman" w:hAnsi="Times New Roman"/>
                <w:sz w:val="20"/>
                <w:lang w:val="en-US"/>
              </w:rPr>
            </w:pPr>
            <w:r w:rsidRPr="007F5FB1">
              <w:rPr>
                <w:rFonts w:ascii="Times New Roman" w:hAnsi="Times New Roman"/>
                <w:sz w:val="20"/>
                <w:lang w:val="en-US"/>
              </w:rPr>
              <w:t>- 1 x RJ-45</w:t>
            </w:r>
          </w:p>
          <w:p w14:paraId="76761FCC" w14:textId="77777777" w:rsidR="00424358" w:rsidRPr="007F5FB1" w:rsidRDefault="00424358" w:rsidP="00424358">
            <w:pPr>
              <w:spacing w:before="0"/>
              <w:ind w:right="0"/>
              <w:rPr>
                <w:rFonts w:ascii="Times New Roman" w:hAnsi="Times New Roman"/>
                <w:sz w:val="20"/>
                <w:lang w:val="en-US"/>
              </w:rPr>
            </w:pPr>
            <w:r w:rsidRPr="007F5FB1">
              <w:rPr>
                <w:rFonts w:ascii="Times New Roman" w:hAnsi="Times New Roman"/>
                <w:sz w:val="20"/>
                <w:lang w:val="en-US"/>
              </w:rPr>
              <w:t>- 1 x Audio: line-in</w:t>
            </w:r>
          </w:p>
          <w:p w14:paraId="2CAED3BD" w14:textId="77777777" w:rsidR="00424358" w:rsidRPr="007F5FB1" w:rsidRDefault="00424358" w:rsidP="00424358">
            <w:pPr>
              <w:spacing w:before="0"/>
              <w:ind w:right="0"/>
              <w:rPr>
                <w:rFonts w:ascii="Times New Roman" w:hAnsi="Times New Roman"/>
                <w:sz w:val="20"/>
                <w:lang w:val="en-US"/>
              </w:rPr>
            </w:pPr>
            <w:r w:rsidRPr="007F5FB1">
              <w:rPr>
                <w:rFonts w:ascii="Times New Roman" w:hAnsi="Times New Roman"/>
                <w:sz w:val="20"/>
                <w:lang w:val="en-US"/>
              </w:rPr>
              <w:t>- 1 x Audio: line-out</w:t>
            </w:r>
          </w:p>
          <w:p w14:paraId="49FDD29A" w14:textId="77777777"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- 1 x Audio: mikrofon z przodu obudowy</w:t>
            </w:r>
          </w:p>
          <w:p w14:paraId="298528BA" w14:textId="77777777"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- 1 x Audio: słuchawki z przodu obudowy</w:t>
            </w:r>
          </w:p>
          <w:p w14:paraId="747825AF" w14:textId="77777777"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- 8 szt. USB w tym: minimum 4 porty z przodu obudowy (w tym min. 2 x USB 3.0), minimum 4 porty z tyłu obudowy (w tym min. 2 x USB 3.0). Porty te powinny być wlutowane w płytę główną – nie dopuszcza się portów wyprowadzonych z płyty głównej na zewnątrz komputera za pomocą przewodów, taśm itp.</w:t>
            </w:r>
          </w:p>
          <w:p w14:paraId="404A9AAB" w14:textId="77777777"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672" w:type="pct"/>
            <w:vAlign w:val="center"/>
          </w:tcPr>
          <w:p w14:paraId="091C61C6" w14:textId="77777777" w:rsidR="00424358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20DF9FA1" w14:textId="77777777" w:rsidR="00424358" w:rsidRDefault="003D6BA9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</w:t>
            </w:r>
          </w:p>
        </w:tc>
        <w:tc>
          <w:tcPr>
            <w:tcW w:w="1441" w:type="pct"/>
            <w:vAlign w:val="bottom"/>
          </w:tcPr>
          <w:p w14:paraId="3DFBADE4" w14:textId="77777777"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24358" w14:paraId="5D075281" w14:textId="77777777" w:rsidTr="00257647">
        <w:trPr>
          <w:cantSplit/>
          <w:trHeight w:val="753"/>
        </w:trPr>
        <w:tc>
          <w:tcPr>
            <w:tcW w:w="178" w:type="pct"/>
            <w:vAlign w:val="center"/>
          </w:tcPr>
          <w:p w14:paraId="0446025B" w14:textId="77777777" w:rsidR="00424358" w:rsidRDefault="00424358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0CD5048D" w14:textId="77777777"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 xml:space="preserve">Karta sieciowa 10/100/1000 Ethernet RJ 45, zintegrowana z płytą główną, wspierająca obsługę </w:t>
            </w:r>
            <w:proofErr w:type="spellStart"/>
            <w:r w:rsidRPr="007466A2">
              <w:rPr>
                <w:rFonts w:ascii="Times New Roman" w:hAnsi="Times New Roman"/>
                <w:sz w:val="20"/>
              </w:rPr>
              <w:t>WoL</w:t>
            </w:r>
            <w:proofErr w:type="spellEnd"/>
            <w:r w:rsidRPr="007466A2">
              <w:rPr>
                <w:rFonts w:ascii="Times New Roman" w:hAnsi="Times New Roman"/>
                <w:sz w:val="20"/>
              </w:rPr>
              <w:t xml:space="preserve"> (funkcja włączana przez użytkownika)</w:t>
            </w:r>
          </w:p>
        </w:tc>
        <w:tc>
          <w:tcPr>
            <w:tcW w:w="672" w:type="pct"/>
            <w:vAlign w:val="center"/>
          </w:tcPr>
          <w:p w14:paraId="631C3E22" w14:textId="77777777" w:rsidR="00424358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4D887EEF" w14:textId="77777777"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14:paraId="087A75D6" w14:textId="77777777"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24358" w14:paraId="2245CD40" w14:textId="77777777" w:rsidTr="00257647">
        <w:trPr>
          <w:cantSplit/>
          <w:trHeight w:val="753"/>
        </w:trPr>
        <w:tc>
          <w:tcPr>
            <w:tcW w:w="178" w:type="pct"/>
            <w:vAlign w:val="center"/>
          </w:tcPr>
          <w:p w14:paraId="7CF50ECE" w14:textId="77777777" w:rsidR="00424358" w:rsidRDefault="00424358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6045DCE9" w14:textId="77777777"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</w:p>
        </w:tc>
        <w:tc>
          <w:tcPr>
            <w:tcW w:w="672" w:type="pct"/>
            <w:vAlign w:val="center"/>
          </w:tcPr>
          <w:p w14:paraId="7338BC05" w14:textId="77777777" w:rsidR="00424358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629202CD" w14:textId="77777777"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14:paraId="16825D66" w14:textId="77777777"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24358" w14:paraId="6C2FF6FD" w14:textId="77777777" w:rsidTr="00257647">
        <w:trPr>
          <w:cantSplit/>
          <w:trHeight w:val="753"/>
        </w:trPr>
        <w:tc>
          <w:tcPr>
            <w:tcW w:w="178" w:type="pct"/>
            <w:vAlign w:val="center"/>
          </w:tcPr>
          <w:p w14:paraId="6ADFD6C1" w14:textId="77777777" w:rsidR="00424358" w:rsidRDefault="00424358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283EA765" w14:textId="77777777" w:rsidR="00306E55" w:rsidRPr="007466A2" w:rsidRDefault="00306E55" w:rsidP="00306E55">
            <w:pPr>
              <w:spacing w:before="0"/>
              <w:ind w:right="0"/>
              <w:rPr>
                <w:rFonts w:ascii="Times New Roman" w:hAnsi="Times New Roman"/>
                <w:bCs/>
                <w:sz w:val="20"/>
              </w:rPr>
            </w:pPr>
            <w:r w:rsidRPr="007466A2">
              <w:rPr>
                <w:rFonts w:ascii="Times New Roman" w:hAnsi="Times New Roman"/>
                <w:bCs/>
                <w:sz w:val="20"/>
              </w:rPr>
              <w:t xml:space="preserve">Płyta główna </w:t>
            </w:r>
            <w:r w:rsidR="00802313" w:rsidRPr="007466A2">
              <w:rPr>
                <w:rFonts w:ascii="Times New Roman" w:hAnsi="Times New Roman"/>
                <w:bCs/>
                <w:sz w:val="20"/>
              </w:rPr>
              <w:t xml:space="preserve">trwale oznaczona logo producenta komputera </w:t>
            </w:r>
            <w:r w:rsidRPr="007466A2">
              <w:rPr>
                <w:rFonts w:ascii="Times New Roman" w:hAnsi="Times New Roman"/>
                <w:bCs/>
                <w:sz w:val="20"/>
              </w:rPr>
              <w:t xml:space="preserve">z wbudowanymi min.: </w:t>
            </w:r>
          </w:p>
          <w:p w14:paraId="06A89C25" w14:textId="77777777" w:rsidR="00306E55" w:rsidRPr="007466A2" w:rsidRDefault="00306E55" w:rsidP="00306E55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- 2 złącza PCI-Express (w tym co najmniej jedno PCI-Express x16)</w:t>
            </w:r>
          </w:p>
          <w:p w14:paraId="0D7AF1BD" w14:textId="77777777" w:rsidR="00306E55" w:rsidRPr="007466A2" w:rsidRDefault="00306E55" w:rsidP="00306E55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- 1 złącze umożliwiające zamontowanie oferowanego dysku SSD</w:t>
            </w:r>
          </w:p>
          <w:p w14:paraId="40989F46" w14:textId="77777777" w:rsidR="00306E55" w:rsidRPr="007466A2" w:rsidRDefault="00306E55" w:rsidP="00306E55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 xml:space="preserve">- 2 złącza DIMM pamięci RAM DDR4, </w:t>
            </w:r>
          </w:p>
          <w:p w14:paraId="3A232270" w14:textId="77777777" w:rsidR="00424358" w:rsidRPr="007466A2" w:rsidRDefault="00306E55" w:rsidP="00306E55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- 3 złącza SATA 3.0,</w:t>
            </w:r>
          </w:p>
        </w:tc>
        <w:tc>
          <w:tcPr>
            <w:tcW w:w="672" w:type="pct"/>
            <w:vAlign w:val="center"/>
          </w:tcPr>
          <w:p w14:paraId="70ECECA4" w14:textId="77777777" w:rsidR="00424358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4C3F3422" w14:textId="77777777"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14:paraId="2FBFCD33" w14:textId="77777777"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06E55" w14:paraId="408DA72C" w14:textId="77777777" w:rsidTr="00257647">
        <w:trPr>
          <w:cantSplit/>
          <w:trHeight w:val="753"/>
        </w:trPr>
        <w:tc>
          <w:tcPr>
            <w:tcW w:w="178" w:type="pct"/>
            <w:vAlign w:val="center"/>
          </w:tcPr>
          <w:p w14:paraId="07234379" w14:textId="77777777" w:rsidR="00306E55" w:rsidRDefault="00306E55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6EE01A4C" w14:textId="77777777" w:rsidR="00306E55" w:rsidRPr="007466A2" w:rsidRDefault="00802313" w:rsidP="00306E55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7466A2">
              <w:rPr>
                <w:rFonts w:ascii="Times New Roman" w:hAnsi="Times New Roman"/>
                <w:sz w:val="20"/>
              </w:rPr>
              <w:t>Klawiatura USB w układzie QWERTY US</w:t>
            </w:r>
          </w:p>
        </w:tc>
        <w:tc>
          <w:tcPr>
            <w:tcW w:w="672" w:type="pct"/>
            <w:vAlign w:val="center"/>
          </w:tcPr>
          <w:p w14:paraId="265DCF4B" w14:textId="77777777" w:rsidR="00306E55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77E6497C" w14:textId="77777777" w:rsidR="00306E55" w:rsidRDefault="00306E55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14:paraId="589E00B3" w14:textId="77777777" w:rsidR="00306E55" w:rsidRDefault="00306E55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06E55" w14:paraId="434A3E30" w14:textId="77777777" w:rsidTr="00257647">
        <w:trPr>
          <w:cantSplit/>
          <w:trHeight w:val="753"/>
        </w:trPr>
        <w:tc>
          <w:tcPr>
            <w:tcW w:w="178" w:type="pct"/>
            <w:vAlign w:val="center"/>
          </w:tcPr>
          <w:p w14:paraId="15531C27" w14:textId="77777777" w:rsidR="00306E55" w:rsidRDefault="00306E55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306BBD7D" w14:textId="77777777" w:rsidR="00306E55" w:rsidRPr="007466A2" w:rsidRDefault="00802313" w:rsidP="00306E55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Mysz optyczna USB z rolką (</w:t>
            </w:r>
            <w:proofErr w:type="spellStart"/>
            <w:r w:rsidRPr="007466A2">
              <w:rPr>
                <w:rFonts w:ascii="Times New Roman" w:hAnsi="Times New Roman"/>
                <w:sz w:val="20"/>
              </w:rPr>
              <w:t>scroll</w:t>
            </w:r>
            <w:proofErr w:type="spellEnd"/>
            <w:r w:rsidRPr="007466A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72" w:type="pct"/>
            <w:vAlign w:val="center"/>
          </w:tcPr>
          <w:p w14:paraId="30513C87" w14:textId="77777777" w:rsidR="00306E55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378BD1E6" w14:textId="77777777" w:rsidR="00306E55" w:rsidRDefault="00306E55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14:paraId="0A0029A4" w14:textId="77777777" w:rsidR="00306E55" w:rsidRDefault="00306E55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02313" w14:paraId="66C05AFD" w14:textId="77777777" w:rsidTr="00257647">
        <w:trPr>
          <w:cantSplit/>
          <w:trHeight w:val="753"/>
        </w:trPr>
        <w:tc>
          <w:tcPr>
            <w:tcW w:w="178" w:type="pct"/>
            <w:vAlign w:val="center"/>
          </w:tcPr>
          <w:p w14:paraId="12408777" w14:textId="77777777" w:rsidR="00802313" w:rsidRDefault="00802313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50999368" w14:textId="77777777" w:rsidR="00802313" w:rsidRPr="007466A2" w:rsidRDefault="00802313" w:rsidP="00306E55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Napęd DVD +/-RW</w:t>
            </w:r>
          </w:p>
        </w:tc>
        <w:tc>
          <w:tcPr>
            <w:tcW w:w="672" w:type="pct"/>
            <w:vAlign w:val="center"/>
          </w:tcPr>
          <w:p w14:paraId="2EB8D8F2" w14:textId="77777777" w:rsidR="00802313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04677F6E" w14:textId="77777777" w:rsidR="00802313" w:rsidRDefault="00802313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14:paraId="11904554" w14:textId="77777777" w:rsidR="00802313" w:rsidRDefault="00802313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02313" w14:paraId="440995E3" w14:textId="77777777" w:rsidTr="00257647">
        <w:trPr>
          <w:cantSplit/>
          <w:trHeight w:val="753"/>
        </w:trPr>
        <w:tc>
          <w:tcPr>
            <w:tcW w:w="178" w:type="pct"/>
            <w:vAlign w:val="center"/>
          </w:tcPr>
          <w:p w14:paraId="7C6F93F1" w14:textId="77777777" w:rsidR="00802313" w:rsidRDefault="00802313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5F8B844D" w14:textId="77777777" w:rsidR="00802313" w:rsidRPr="003D6BA9" w:rsidRDefault="00B04688" w:rsidP="00B04688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3D6BA9">
              <w:rPr>
                <w:rFonts w:ascii="Times New Roman" w:hAnsi="Times New Roman"/>
                <w:sz w:val="20"/>
              </w:rPr>
              <w:t>Zestawy komputerowe muszą</w:t>
            </w:r>
            <w:r w:rsidR="00802313" w:rsidRPr="003D6BA9">
              <w:rPr>
                <w:rFonts w:ascii="Times New Roman" w:hAnsi="Times New Roman"/>
                <w:sz w:val="20"/>
              </w:rPr>
              <w:t xml:space="preserve"> </w:t>
            </w:r>
            <w:r w:rsidRPr="003D6BA9">
              <w:rPr>
                <w:rFonts w:ascii="Times New Roman" w:hAnsi="Times New Roman"/>
                <w:sz w:val="20"/>
              </w:rPr>
              <w:t>posiadać:</w:t>
            </w:r>
          </w:p>
          <w:p w14:paraId="065F72A4" w14:textId="77777777" w:rsidR="001B2135" w:rsidRPr="003D6BA9" w:rsidRDefault="001B2135" w:rsidP="001B2135">
            <w:pPr>
              <w:widowControl/>
              <w:numPr>
                <w:ilvl w:val="0"/>
                <w:numId w:val="18"/>
              </w:numPr>
              <w:suppressAutoHyphens/>
              <w:spacing w:before="0"/>
              <w:ind w:left="287" w:right="0" w:hanging="287"/>
              <w:rPr>
                <w:rFonts w:ascii="Times New Roman" w:hAnsi="Times New Roman"/>
                <w:sz w:val="20"/>
              </w:rPr>
            </w:pPr>
            <w:r w:rsidRPr="003D6BA9">
              <w:rPr>
                <w:rFonts w:ascii="Times New Roman" w:hAnsi="Times New Roman"/>
                <w:sz w:val="20"/>
              </w:rPr>
              <w:t xml:space="preserve">Certyfikat EPEAT na poziomie min. </w:t>
            </w:r>
            <w:proofErr w:type="spellStart"/>
            <w:r w:rsidRPr="003D6BA9">
              <w:rPr>
                <w:rFonts w:ascii="Times New Roman" w:hAnsi="Times New Roman"/>
                <w:sz w:val="20"/>
              </w:rPr>
              <w:t>Bronze</w:t>
            </w:r>
            <w:proofErr w:type="spellEnd"/>
            <w:r w:rsidRPr="003D6BA9">
              <w:rPr>
                <w:rFonts w:ascii="Times New Roman" w:hAnsi="Times New Roman"/>
                <w:sz w:val="20"/>
              </w:rPr>
              <w:t xml:space="preserve"> - wymagany wpis dotyczący oferowanego modelu komputera w internetowym katalogu http://www.epeat.net</w:t>
            </w:r>
          </w:p>
          <w:p w14:paraId="16BDA9F0" w14:textId="571FF75B" w:rsidR="00B04688" w:rsidRPr="003D6BA9" w:rsidRDefault="00B04688" w:rsidP="00B04688">
            <w:pPr>
              <w:widowControl/>
              <w:numPr>
                <w:ilvl w:val="0"/>
                <w:numId w:val="18"/>
              </w:numPr>
              <w:suppressAutoHyphens/>
              <w:spacing w:before="0"/>
              <w:ind w:left="287" w:right="0" w:hanging="287"/>
              <w:rPr>
                <w:rFonts w:ascii="Times New Roman" w:hAnsi="Times New Roman"/>
                <w:sz w:val="20"/>
              </w:rPr>
            </w:pPr>
            <w:r w:rsidRPr="003D6BA9">
              <w:rPr>
                <w:rFonts w:ascii="Times New Roman" w:hAnsi="Times New Roman"/>
                <w:sz w:val="20"/>
              </w:rPr>
              <w:t>certyfikat lub deklarację zgodności CE potwierdzająca, iż produkt jest dopuszczony do obrotu i stosowania na terenie Unii Europejskiej (</w:t>
            </w:r>
            <w:r w:rsidRPr="003D6BA9">
              <w:rPr>
                <w:rFonts w:ascii="Times New Roman" w:hAnsi="Times New Roman"/>
                <w:b/>
                <w:sz w:val="20"/>
              </w:rPr>
              <w:t>dokumenty dla stacji roboczej</w:t>
            </w:r>
            <w:r w:rsidR="00CD2B64">
              <w:rPr>
                <w:rFonts w:ascii="Times New Roman" w:hAnsi="Times New Roman"/>
                <w:b/>
                <w:sz w:val="20"/>
              </w:rPr>
              <w:t>)</w:t>
            </w:r>
          </w:p>
          <w:p w14:paraId="052D240C" w14:textId="77777777" w:rsidR="00B04688" w:rsidRPr="003D6BA9" w:rsidRDefault="00B04688" w:rsidP="00B04688">
            <w:pPr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287" w:right="0" w:hanging="287"/>
              <w:rPr>
                <w:rFonts w:ascii="Times New Roman" w:hAnsi="Times New Roman"/>
                <w:color w:val="000000"/>
                <w:sz w:val="20"/>
              </w:rPr>
            </w:pPr>
            <w:r w:rsidRPr="003D6BA9">
              <w:rPr>
                <w:rFonts w:ascii="Times New Roman" w:hAnsi="Times New Roman"/>
                <w:color w:val="000000"/>
                <w:sz w:val="20"/>
              </w:rPr>
              <w:t xml:space="preserve">oświadczenie Wykonawcy o spełnieniu przez oferowany </w:t>
            </w:r>
            <w:r w:rsidR="00321316" w:rsidRPr="003D6BA9">
              <w:rPr>
                <w:rFonts w:ascii="Times New Roman" w:hAnsi="Times New Roman"/>
                <w:sz w:val="20"/>
              </w:rPr>
              <w:t xml:space="preserve">zestaw komputerowy </w:t>
            </w:r>
            <w:r w:rsidRPr="003D6BA9">
              <w:rPr>
                <w:rFonts w:ascii="Times New Roman" w:hAnsi="Times New Roman"/>
                <w:color w:val="000000"/>
                <w:sz w:val="20"/>
              </w:rPr>
              <w:t>postanowień dyrektywy ROHS 2002/95/WE ze zm. ,</w:t>
            </w:r>
          </w:p>
          <w:p w14:paraId="2FCC9B41" w14:textId="77777777" w:rsidR="000842D8" w:rsidRPr="003D6BA9" w:rsidRDefault="000842D8" w:rsidP="000842D8">
            <w:pPr>
              <w:widowControl/>
              <w:numPr>
                <w:ilvl w:val="0"/>
                <w:numId w:val="18"/>
              </w:numPr>
              <w:suppressAutoHyphens/>
              <w:spacing w:before="0"/>
              <w:ind w:left="287" w:right="0" w:hanging="287"/>
              <w:rPr>
                <w:rFonts w:ascii="Times New Roman" w:hAnsi="Times New Roman"/>
                <w:sz w:val="20"/>
              </w:rPr>
            </w:pPr>
            <w:r w:rsidRPr="003D6BA9">
              <w:rPr>
                <w:rFonts w:ascii="Times New Roman" w:hAnsi="Times New Roman"/>
                <w:sz w:val="20"/>
              </w:rPr>
              <w:t>certyfikat potwierdzający spełnienie normy TCO na poziomie min 5.0</w:t>
            </w:r>
          </w:p>
          <w:p w14:paraId="576CDD9C" w14:textId="77777777" w:rsidR="000842D8" w:rsidRPr="003D6BA9" w:rsidRDefault="000842D8" w:rsidP="000842D8">
            <w:pPr>
              <w:widowControl/>
              <w:numPr>
                <w:ilvl w:val="0"/>
                <w:numId w:val="18"/>
              </w:numPr>
              <w:suppressAutoHyphens/>
              <w:spacing w:before="0"/>
              <w:ind w:left="287" w:right="0" w:hanging="287"/>
              <w:rPr>
                <w:rFonts w:ascii="Times New Roman" w:hAnsi="Times New Roman"/>
                <w:sz w:val="20"/>
              </w:rPr>
            </w:pPr>
            <w:r w:rsidRPr="003D6BA9">
              <w:rPr>
                <w:rFonts w:ascii="Times New Roman" w:hAnsi="Times New Roman"/>
                <w:sz w:val="20"/>
              </w:rPr>
              <w:t xml:space="preserve">certyfikat potwierdzający spełnienie normy </w:t>
            </w:r>
            <w:proofErr w:type="spellStart"/>
            <w:r w:rsidRPr="003D6BA9">
              <w:rPr>
                <w:rFonts w:ascii="Times New Roman" w:hAnsi="Times New Roman"/>
                <w:sz w:val="20"/>
              </w:rPr>
              <w:t>EnergyStar</w:t>
            </w:r>
            <w:proofErr w:type="spellEnd"/>
            <w:r w:rsidRPr="003D6BA9">
              <w:rPr>
                <w:rFonts w:ascii="Times New Roman" w:hAnsi="Times New Roman"/>
                <w:sz w:val="20"/>
              </w:rPr>
              <w:t xml:space="preserve"> 7.0</w:t>
            </w:r>
          </w:p>
          <w:p w14:paraId="067E9114" w14:textId="77777777" w:rsidR="00557513" w:rsidRDefault="00B04688" w:rsidP="00557513">
            <w:pPr>
              <w:widowControl/>
              <w:numPr>
                <w:ilvl w:val="0"/>
                <w:numId w:val="18"/>
              </w:numPr>
              <w:suppressAutoHyphens/>
              <w:spacing w:before="0"/>
              <w:ind w:left="287" w:right="0" w:hanging="287"/>
              <w:rPr>
                <w:rFonts w:ascii="Times New Roman" w:hAnsi="Times New Roman"/>
                <w:sz w:val="20"/>
              </w:rPr>
            </w:pPr>
            <w:r w:rsidRPr="003D6BA9">
              <w:rPr>
                <w:rFonts w:ascii="Times New Roman" w:hAnsi="Times New Roman"/>
                <w:sz w:val="20"/>
              </w:rPr>
              <w:t>certyfikat producenta oferowanego systemu operacyjnego potwierdzający poprawną współpracę oferowanego modelu komputera z systemem operacyjnym który zostanie zainstalowany,</w:t>
            </w:r>
          </w:p>
          <w:p w14:paraId="409052DB" w14:textId="77777777" w:rsidR="00557513" w:rsidRDefault="00557513" w:rsidP="00557513">
            <w:pPr>
              <w:widowControl/>
              <w:numPr>
                <w:ilvl w:val="0"/>
                <w:numId w:val="18"/>
              </w:numPr>
              <w:suppressAutoHyphens/>
              <w:spacing w:before="0"/>
              <w:ind w:left="287" w:right="0" w:hanging="287"/>
              <w:rPr>
                <w:rFonts w:ascii="Times New Roman" w:hAnsi="Times New Roman"/>
                <w:sz w:val="20"/>
              </w:rPr>
            </w:pPr>
            <w:r w:rsidRPr="00557513">
              <w:rPr>
                <w:rFonts w:ascii="Times New Roman" w:hAnsi="Times New Roman"/>
                <w:spacing w:val="-6"/>
                <w:sz w:val="20"/>
              </w:rPr>
              <w:t>Producent komputera/fabryka producenta musi posiadać normę ISO 50001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oraz ISO 14001</w:t>
            </w:r>
            <w:r w:rsidRPr="00557513">
              <w:rPr>
                <w:rFonts w:ascii="Times New Roman" w:hAnsi="Times New Roman"/>
                <w:spacing w:val="-6"/>
                <w:sz w:val="20"/>
              </w:rPr>
              <w:t>.</w:t>
            </w:r>
          </w:p>
          <w:p w14:paraId="7BC763F0" w14:textId="77777777" w:rsidR="00B04688" w:rsidRPr="007466A2" w:rsidRDefault="00B04688" w:rsidP="00557513">
            <w:pPr>
              <w:widowControl/>
              <w:suppressAutoHyphens/>
              <w:spacing w:before="0"/>
              <w:ind w:left="287"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72" w:type="pct"/>
            <w:vAlign w:val="center"/>
          </w:tcPr>
          <w:p w14:paraId="2B51D9DC" w14:textId="77777777" w:rsidR="00802313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7E1FA782" w14:textId="77777777" w:rsidR="00802313" w:rsidRDefault="003D6BA9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------------------</w:t>
            </w:r>
          </w:p>
        </w:tc>
        <w:tc>
          <w:tcPr>
            <w:tcW w:w="1441" w:type="pct"/>
            <w:vAlign w:val="bottom"/>
          </w:tcPr>
          <w:p w14:paraId="1F6A1739" w14:textId="77777777" w:rsidR="00802313" w:rsidRDefault="00802313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F7D0E" w14:paraId="5D8EC50E" w14:textId="77777777" w:rsidTr="00257647">
        <w:trPr>
          <w:cantSplit/>
          <w:trHeight w:val="753"/>
        </w:trPr>
        <w:tc>
          <w:tcPr>
            <w:tcW w:w="178" w:type="pct"/>
            <w:vAlign w:val="center"/>
          </w:tcPr>
          <w:p w14:paraId="3EC7F770" w14:textId="77777777" w:rsidR="00CF7D0E" w:rsidRDefault="00CF7D0E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186C5297" w14:textId="77777777" w:rsidR="00CF7D0E" w:rsidRPr="007466A2" w:rsidRDefault="00CF7D0E" w:rsidP="00CF7D0E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b/>
                <w:bCs/>
                <w:sz w:val="20"/>
              </w:rPr>
              <w:t xml:space="preserve">Wymagane parametry techniczne monitora: </w:t>
            </w:r>
          </w:p>
          <w:p w14:paraId="0EA9289A" w14:textId="1947E579" w:rsidR="00CF7D0E" w:rsidRPr="00F200F8" w:rsidRDefault="00CF7D0E" w:rsidP="00F200F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 w:rsidRPr="00F200F8">
              <w:rPr>
                <w:rFonts w:ascii="Times New Roman" w:hAnsi="Times New Roman"/>
                <w:sz w:val="20"/>
              </w:rPr>
              <w:t xml:space="preserve">typ ekranu </w:t>
            </w:r>
            <w:r w:rsidR="00B12604" w:rsidRPr="00F200F8">
              <w:rPr>
                <w:rFonts w:ascii="Times New Roman" w:hAnsi="Times New Roman"/>
                <w:sz w:val="20"/>
              </w:rPr>
              <w:t>- p</w:t>
            </w:r>
            <w:r w:rsidRPr="00F200F8">
              <w:rPr>
                <w:rFonts w:ascii="Times New Roman" w:hAnsi="Times New Roman"/>
                <w:sz w:val="20"/>
              </w:rPr>
              <w:t xml:space="preserve">anoramiczny; ciekłokrystaliczny z aktywną matrycą IPS o przekątnej co najmniej </w:t>
            </w:r>
            <w:r w:rsidR="002B45A9" w:rsidRPr="00F200F8">
              <w:rPr>
                <w:rFonts w:ascii="Times New Roman" w:hAnsi="Times New Roman"/>
                <w:sz w:val="20"/>
              </w:rPr>
              <w:t>23,8”</w:t>
            </w:r>
          </w:p>
          <w:p w14:paraId="021BC9A3" w14:textId="77777777" w:rsidR="00B12604" w:rsidRPr="00F200F8" w:rsidRDefault="00B12604" w:rsidP="00F200F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 w:rsidRPr="00F200F8">
              <w:rPr>
                <w:rFonts w:ascii="Times New Roman" w:hAnsi="Times New Roman"/>
                <w:sz w:val="20"/>
              </w:rPr>
              <w:t>jasność: min. 250 cd/m2</w:t>
            </w:r>
          </w:p>
          <w:p w14:paraId="2319CA49" w14:textId="77777777" w:rsidR="002B45A9" w:rsidRPr="002B45A9" w:rsidRDefault="002B45A9" w:rsidP="002B45A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2B45A9">
              <w:rPr>
                <w:rFonts w:ascii="Times New Roman" w:hAnsi="Times New Roman"/>
                <w:sz w:val="20"/>
                <w:szCs w:val="20"/>
              </w:rPr>
              <w:t>Możliwość obrotu (</w:t>
            </w:r>
            <w:proofErr w:type="spellStart"/>
            <w:r w:rsidRPr="002B45A9">
              <w:rPr>
                <w:rFonts w:ascii="Times New Roman" w:hAnsi="Times New Roman"/>
                <w:sz w:val="20"/>
                <w:szCs w:val="20"/>
              </w:rPr>
              <w:t>Swivel</w:t>
            </w:r>
            <w:proofErr w:type="spellEnd"/>
            <w:r w:rsidRPr="002B45A9">
              <w:rPr>
                <w:rFonts w:ascii="Times New Roman" w:hAnsi="Times New Roman"/>
                <w:sz w:val="20"/>
                <w:szCs w:val="20"/>
              </w:rPr>
              <w:t>): min. 340°;</w:t>
            </w:r>
          </w:p>
          <w:p w14:paraId="2F721C53" w14:textId="77777777" w:rsidR="002B45A9" w:rsidRPr="002B45A9" w:rsidRDefault="002B45A9" w:rsidP="002B45A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5A9">
              <w:rPr>
                <w:rFonts w:ascii="Times New Roman" w:hAnsi="Times New Roman"/>
                <w:sz w:val="20"/>
                <w:szCs w:val="20"/>
              </w:rPr>
              <w:t>Pivot</w:t>
            </w:r>
            <w:proofErr w:type="spellEnd"/>
            <w:r w:rsidRPr="002B45A9">
              <w:rPr>
                <w:rFonts w:ascii="Times New Roman" w:hAnsi="Times New Roman"/>
                <w:sz w:val="20"/>
                <w:szCs w:val="20"/>
              </w:rPr>
              <w:t>: tak</w:t>
            </w:r>
          </w:p>
          <w:p w14:paraId="47B572C5" w14:textId="77777777" w:rsidR="002B45A9" w:rsidRPr="002B45A9" w:rsidRDefault="002B45A9" w:rsidP="002B45A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2B45A9">
              <w:rPr>
                <w:rFonts w:ascii="Times New Roman" w:hAnsi="Times New Roman"/>
                <w:sz w:val="20"/>
                <w:szCs w:val="20"/>
              </w:rPr>
              <w:t>Kontrast: min. 1000:1</w:t>
            </w:r>
          </w:p>
          <w:p w14:paraId="1700C882" w14:textId="77777777" w:rsidR="002B45A9" w:rsidRPr="002B45A9" w:rsidRDefault="002B45A9" w:rsidP="002B45A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2B45A9">
              <w:rPr>
                <w:rFonts w:ascii="Times New Roman" w:hAnsi="Times New Roman"/>
                <w:sz w:val="20"/>
                <w:szCs w:val="20"/>
              </w:rPr>
              <w:t>Wielkość plamki: 0,2745 mm</w:t>
            </w:r>
          </w:p>
          <w:p w14:paraId="1418EE02" w14:textId="77777777" w:rsidR="002B45A9" w:rsidRPr="002B45A9" w:rsidRDefault="002B45A9" w:rsidP="002B45A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2B45A9">
              <w:rPr>
                <w:rFonts w:ascii="Times New Roman" w:hAnsi="Times New Roman"/>
                <w:sz w:val="20"/>
                <w:szCs w:val="20"/>
              </w:rPr>
              <w:t>Kąty widzenia (pion/poziom): min. 178°/178° (CR10:1)</w:t>
            </w:r>
          </w:p>
          <w:p w14:paraId="1B6F80D8" w14:textId="77777777" w:rsidR="002B45A9" w:rsidRPr="002B45A9" w:rsidRDefault="002B45A9" w:rsidP="002B45A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2B45A9">
              <w:rPr>
                <w:rFonts w:ascii="Times New Roman" w:hAnsi="Times New Roman"/>
                <w:sz w:val="20"/>
                <w:szCs w:val="20"/>
              </w:rPr>
              <w:t xml:space="preserve">Czas reakcji matrycy: max 5 ms </w:t>
            </w:r>
          </w:p>
          <w:p w14:paraId="1FAEA833" w14:textId="77777777" w:rsidR="002B45A9" w:rsidRPr="002B45A9" w:rsidRDefault="002B45A9" w:rsidP="002B45A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2B45A9">
              <w:rPr>
                <w:rFonts w:ascii="Times New Roman" w:hAnsi="Times New Roman"/>
                <w:sz w:val="20"/>
                <w:szCs w:val="20"/>
              </w:rPr>
              <w:t>Możliwość zmiany wysokości: 15 cm</w:t>
            </w:r>
          </w:p>
          <w:p w14:paraId="0A777C2E" w14:textId="77777777" w:rsidR="002B45A9" w:rsidRPr="002B45A9" w:rsidRDefault="002B45A9" w:rsidP="002B45A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2B45A9">
              <w:rPr>
                <w:rFonts w:ascii="Times New Roman" w:hAnsi="Times New Roman"/>
                <w:sz w:val="20"/>
                <w:szCs w:val="20"/>
              </w:rPr>
              <w:t>Kolory: 16,7 mln</w:t>
            </w:r>
          </w:p>
          <w:p w14:paraId="24E3A769" w14:textId="77777777" w:rsidR="002B45A9" w:rsidRPr="002B45A9" w:rsidRDefault="002B45A9" w:rsidP="002B45A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2B45A9">
              <w:rPr>
                <w:rFonts w:ascii="Times New Roman" w:hAnsi="Times New Roman"/>
                <w:sz w:val="20"/>
                <w:szCs w:val="20"/>
              </w:rPr>
              <w:t>Rozdzielczość maksymalna: 1920 x 1080 pikseli</w:t>
            </w:r>
          </w:p>
          <w:p w14:paraId="4C9A318C" w14:textId="77777777" w:rsidR="002B45A9" w:rsidRPr="002B45A9" w:rsidRDefault="002B45A9" w:rsidP="002B45A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2B45A9">
              <w:rPr>
                <w:rFonts w:ascii="Times New Roman" w:hAnsi="Times New Roman"/>
                <w:sz w:val="20"/>
                <w:szCs w:val="20"/>
              </w:rPr>
              <w:t>Powłoka powierzchni ekranu: Przeciwodblaskowa, utwardzona (3H)</w:t>
            </w:r>
          </w:p>
          <w:p w14:paraId="526BAFDC" w14:textId="77777777" w:rsidR="002B45A9" w:rsidRPr="002B45A9" w:rsidRDefault="002B45A9" w:rsidP="002B45A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2B45A9">
              <w:rPr>
                <w:rFonts w:ascii="Times New Roman" w:hAnsi="Times New Roman"/>
                <w:sz w:val="20"/>
                <w:szCs w:val="20"/>
              </w:rPr>
              <w:t>Zakres pochylenia monitora: Od -5° do +35°</w:t>
            </w:r>
          </w:p>
          <w:p w14:paraId="08466943" w14:textId="77777777" w:rsidR="002B45A9" w:rsidRPr="002B45A9" w:rsidRDefault="002B45A9" w:rsidP="002B45A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2B45A9">
              <w:rPr>
                <w:rFonts w:ascii="Times New Roman" w:hAnsi="Times New Roman"/>
                <w:sz w:val="20"/>
                <w:szCs w:val="20"/>
              </w:rPr>
              <w:t>Złącze : 15-stykowe złącze D-</w:t>
            </w:r>
            <w:proofErr w:type="spellStart"/>
            <w:r w:rsidRPr="002B45A9">
              <w:rPr>
                <w:rFonts w:ascii="Times New Roman" w:hAnsi="Times New Roman"/>
                <w:sz w:val="20"/>
                <w:szCs w:val="20"/>
              </w:rPr>
              <w:t>Sub</w:t>
            </w:r>
            <w:proofErr w:type="spellEnd"/>
            <w:r w:rsidRPr="002B45A9">
              <w:rPr>
                <w:rFonts w:ascii="Times New Roman" w:hAnsi="Times New Roman"/>
                <w:sz w:val="20"/>
                <w:szCs w:val="20"/>
              </w:rPr>
              <w:t>, DVI-D (z HDCP), HDMI</w:t>
            </w:r>
          </w:p>
          <w:p w14:paraId="1040D6C1" w14:textId="2E5C532E" w:rsidR="002B45A9" w:rsidRPr="002B45A9" w:rsidRDefault="002B45A9" w:rsidP="002B45A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2B45A9">
              <w:rPr>
                <w:rFonts w:ascii="Times New Roman" w:hAnsi="Times New Roman"/>
                <w:sz w:val="20"/>
                <w:szCs w:val="20"/>
              </w:rPr>
              <w:t xml:space="preserve">Średnie użycie energii 14,95 W, Max 23 W, tryb uśpienia </w:t>
            </w:r>
            <w:r w:rsidR="00F200F8">
              <w:rPr>
                <w:rFonts w:ascii="Times New Roman" w:hAnsi="Times New Roman"/>
                <w:sz w:val="20"/>
                <w:szCs w:val="20"/>
              </w:rPr>
              <w:br/>
            </w:r>
            <w:r w:rsidRPr="002B45A9">
              <w:rPr>
                <w:rFonts w:ascii="Times New Roman" w:hAnsi="Times New Roman"/>
                <w:sz w:val="20"/>
                <w:szCs w:val="20"/>
              </w:rPr>
              <w:t>0,17 W</w:t>
            </w:r>
          </w:p>
          <w:p w14:paraId="227B726C" w14:textId="77777777" w:rsidR="002B45A9" w:rsidRPr="002B45A9" w:rsidRDefault="002B45A9" w:rsidP="002B45A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2B45A9">
              <w:rPr>
                <w:rFonts w:ascii="Times New Roman" w:hAnsi="Times New Roman"/>
                <w:sz w:val="20"/>
                <w:szCs w:val="20"/>
              </w:rPr>
              <w:t xml:space="preserve">Inne: Monitor musi posiadać usuwalną podstawę montażową, wbudowane 2 głośniki min. 2 W, hub USB min. 2x USB 2.0; kompatybilność z VESA 100 mm, </w:t>
            </w:r>
            <w:proofErr w:type="spellStart"/>
            <w:r w:rsidRPr="002B45A9">
              <w:rPr>
                <w:rFonts w:ascii="Times New Roman" w:hAnsi="Times New Roman"/>
                <w:sz w:val="20"/>
                <w:szCs w:val="20"/>
              </w:rPr>
              <w:t>Kensington</w:t>
            </w:r>
            <w:proofErr w:type="spellEnd"/>
            <w:r w:rsidRPr="002B45A9">
              <w:rPr>
                <w:rFonts w:ascii="Times New Roman" w:hAnsi="Times New Roman"/>
                <w:sz w:val="20"/>
                <w:szCs w:val="20"/>
              </w:rPr>
              <w:t xml:space="preserve"> Lock</w:t>
            </w:r>
          </w:p>
          <w:p w14:paraId="74E15792" w14:textId="77777777" w:rsidR="002B45A9" w:rsidRPr="002B45A9" w:rsidRDefault="002B45A9" w:rsidP="002B45A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2B45A9">
              <w:rPr>
                <w:rFonts w:ascii="Times New Roman" w:hAnsi="Times New Roman"/>
                <w:sz w:val="20"/>
                <w:szCs w:val="20"/>
              </w:rPr>
              <w:t>Dołączone oprogramowanie producenta monitora pozwalające na zdalne sprawdzenie parametrów pracy oraz konfigurację ustawień monitora</w:t>
            </w:r>
          </w:p>
          <w:p w14:paraId="7DC89311" w14:textId="56F467B2" w:rsidR="00321316" w:rsidRPr="00F200F8" w:rsidRDefault="002B45A9" w:rsidP="00F200F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2B45A9">
              <w:rPr>
                <w:rFonts w:ascii="Times New Roman" w:hAnsi="Times New Roman"/>
                <w:sz w:val="20"/>
                <w:szCs w:val="20"/>
              </w:rPr>
              <w:t>Normy i standardy:</w:t>
            </w:r>
            <w:r w:rsidR="00F20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00F8">
              <w:rPr>
                <w:rFonts w:ascii="Times New Roman" w:hAnsi="Times New Roman"/>
                <w:sz w:val="20"/>
              </w:rPr>
              <w:t xml:space="preserve">Monitory muszą być wykonane zgodnie  normami i posiadać certyfikaty: TCO 7.0, ISO9241-307, EPEAT Gold, Energy Star 7.0, TÜV </w:t>
            </w:r>
            <w:proofErr w:type="spellStart"/>
            <w:r w:rsidRPr="00F200F8">
              <w:rPr>
                <w:rFonts w:ascii="Times New Roman" w:hAnsi="Times New Roman"/>
                <w:sz w:val="20"/>
              </w:rPr>
              <w:t>Low</w:t>
            </w:r>
            <w:proofErr w:type="spellEnd"/>
            <w:r w:rsidRPr="00F200F8">
              <w:rPr>
                <w:rFonts w:ascii="Times New Roman" w:hAnsi="Times New Roman"/>
                <w:sz w:val="20"/>
              </w:rPr>
              <w:t xml:space="preserve"> Blue </w:t>
            </w:r>
            <w:proofErr w:type="spellStart"/>
            <w:r w:rsidRPr="00F200F8">
              <w:rPr>
                <w:rFonts w:ascii="Times New Roman" w:hAnsi="Times New Roman"/>
                <w:sz w:val="20"/>
              </w:rPr>
              <w:t>Light</w:t>
            </w:r>
            <w:proofErr w:type="spellEnd"/>
            <w:r w:rsidRPr="00F200F8">
              <w:rPr>
                <w:rFonts w:ascii="Times New Roman" w:hAnsi="Times New Roman"/>
                <w:sz w:val="20"/>
              </w:rPr>
              <w:t xml:space="preserve">, TÜV </w:t>
            </w:r>
            <w:proofErr w:type="spellStart"/>
            <w:r w:rsidRPr="00F200F8">
              <w:rPr>
                <w:rFonts w:ascii="Times New Roman" w:hAnsi="Times New Roman"/>
                <w:sz w:val="20"/>
              </w:rPr>
              <w:t>Flicker</w:t>
            </w:r>
            <w:proofErr w:type="spellEnd"/>
            <w:r w:rsidRPr="00F200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200F8">
              <w:rPr>
                <w:rFonts w:ascii="Times New Roman" w:hAnsi="Times New Roman"/>
                <w:sz w:val="20"/>
              </w:rPr>
              <w:t>Free</w:t>
            </w:r>
            <w:proofErr w:type="spellEnd"/>
            <w:r w:rsidRPr="00F200F8">
              <w:rPr>
                <w:rFonts w:ascii="Times New Roman" w:hAnsi="Times New Roman"/>
                <w:sz w:val="20"/>
              </w:rPr>
              <w:t xml:space="preserve">  – lub inne dokumenty wdane przez niezależny podmiot uprawniony do kontroli jakości, potwierdzające, że dostarczone monitory odpowiadają wskazanym normom.</w:t>
            </w:r>
          </w:p>
        </w:tc>
        <w:tc>
          <w:tcPr>
            <w:tcW w:w="672" w:type="pct"/>
            <w:vAlign w:val="center"/>
          </w:tcPr>
          <w:p w14:paraId="12BEEFEF" w14:textId="77777777" w:rsidR="00CF7D0E" w:rsidRDefault="00CF7D0E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3" w:type="pct"/>
            <w:vAlign w:val="center"/>
          </w:tcPr>
          <w:p w14:paraId="420767EF" w14:textId="77777777" w:rsidR="00CF7D0E" w:rsidRDefault="00CF7D0E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14:paraId="312B19EF" w14:textId="77777777" w:rsidR="00CF7D0E" w:rsidRDefault="00CF7D0E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02313" w14:paraId="3F33FED1" w14:textId="77777777" w:rsidTr="00257647">
        <w:trPr>
          <w:cantSplit/>
          <w:trHeight w:val="753"/>
        </w:trPr>
        <w:tc>
          <w:tcPr>
            <w:tcW w:w="178" w:type="pct"/>
            <w:vAlign w:val="center"/>
          </w:tcPr>
          <w:p w14:paraId="492AA51E" w14:textId="77777777" w:rsidR="00802313" w:rsidRDefault="00802313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040D537B" w14:textId="77777777" w:rsidR="00CF7D0E" w:rsidRPr="007466A2" w:rsidRDefault="00CF7D0E" w:rsidP="00CF7D0E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b/>
                <w:bCs/>
                <w:sz w:val="20"/>
              </w:rPr>
              <w:t>Wymagania dodatkowe:</w:t>
            </w:r>
          </w:p>
          <w:p w14:paraId="0E485886" w14:textId="77777777" w:rsidR="00802313" w:rsidRPr="007466A2" w:rsidRDefault="00CF7D0E" w:rsidP="00CF7D0E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</w:p>
        </w:tc>
        <w:tc>
          <w:tcPr>
            <w:tcW w:w="672" w:type="pct"/>
            <w:vAlign w:val="center"/>
          </w:tcPr>
          <w:p w14:paraId="0878C10F" w14:textId="77777777" w:rsidR="00802313" w:rsidRDefault="00CF7D0E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1B930EA7" w14:textId="77777777" w:rsidR="00802313" w:rsidRDefault="00802313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14:paraId="73A5EAF7" w14:textId="77777777" w:rsidR="00802313" w:rsidRDefault="00802313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02313" w14:paraId="70AE5891" w14:textId="77777777" w:rsidTr="007419D8">
        <w:trPr>
          <w:cantSplit/>
          <w:trHeight w:val="753"/>
        </w:trPr>
        <w:tc>
          <w:tcPr>
            <w:tcW w:w="178" w:type="pct"/>
            <w:vAlign w:val="center"/>
          </w:tcPr>
          <w:p w14:paraId="48C35FC8" w14:textId="77777777" w:rsidR="00802313" w:rsidRDefault="00802313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0A3E5CEB" w14:textId="77777777" w:rsidR="00CF7D0E" w:rsidRPr="00FD5649" w:rsidRDefault="00CF7D0E" w:rsidP="00CF7D0E">
            <w:pPr>
              <w:spacing w:before="0"/>
              <w:ind w:right="0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FD5649">
              <w:rPr>
                <w:rFonts w:ascii="Times New Roman" w:hAnsi="Times New Roman"/>
                <w:b/>
                <w:bCs/>
                <w:color w:val="FF0000"/>
                <w:sz w:val="20"/>
              </w:rPr>
              <w:t>Gwarancja jakości producenta na kompletny zestaw komputerowy</w:t>
            </w:r>
            <w:r w:rsidR="002C350D" w:rsidRPr="00FD5649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 </w:t>
            </w:r>
            <w:r w:rsidR="002C350D" w:rsidRPr="00FD5649">
              <w:rPr>
                <w:rFonts w:ascii="Times New Roman" w:eastAsia="Calibri" w:hAnsi="Times New Roman"/>
                <w:b/>
                <w:color w:val="FF0000"/>
                <w:sz w:val="20"/>
                <w:lang w:eastAsia="en-US"/>
              </w:rPr>
              <w:t>wraz z monitorem</w:t>
            </w:r>
            <w:r w:rsidRPr="00FD5649">
              <w:rPr>
                <w:rFonts w:ascii="Times New Roman" w:hAnsi="Times New Roman"/>
                <w:b/>
                <w:bCs/>
                <w:color w:val="FF0000"/>
                <w:sz w:val="20"/>
              </w:rPr>
              <w:t>:</w:t>
            </w:r>
          </w:p>
          <w:p w14:paraId="0B40D820" w14:textId="470F8025" w:rsidR="00CD2B64" w:rsidRPr="00FD5649" w:rsidRDefault="00CF7D0E" w:rsidP="00CF7D0E">
            <w:pPr>
              <w:spacing w:before="0"/>
              <w:ind w:right="0"/>
              <w:rPr>
                <w:rFonts w:ascii="Times New Roman" w:hAnsi="Times New Roman"/>
                <w:color w:val="FF0000"/>
                <w:sz w:val="20"/>
              </w:rPr>
            </w:pPr>
            <w:r w:rsidRPr="00FD5649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- </w:t>
            </w:r>
            <w:r w:rsidR="0019733F" w:rsidRPr="007419D8">
              <w:rPr>
                <w:rFonts w:ascii="Times New Roman" w:hAnsi="Times New Roman"/>
                <w:b/>
                <w:color w:val="FF0000"/>
                <w:sz w:val="20"/>
                <w:u w:val="single"/>
              </w:rPr>
              <w:t>min. na okres co najmniej 24  miesiące</w:t>
            </w:r>
            <w:r w:rsidRPr="00FD5649">
              <w:rPr>
                <w:rFonts w:ascii="Times New Roman" w:hAnsi="Times New Roman"/>
                <w:color w:val="FF0000"/>
                <w:sz w:val="20"/>
              </w:rPr>
              <w:t xml:space="preserve"> - świadczonej  w siedzibie Zamawiającego, chyba że niezbędne będzie naprawa sprzętu w siedzibie producenta ,lub autoryzowanym przez niego punkcie serwisowym </w:t>
            </w:r>
            <w:r w:rsidR="00F200F8" w:rsidRPr="00FD5649">
              <w:rPr>
                <w:rFonts w:ascii="Times New Roman" w:hAnsi="Times New Roman"/>
                <w:color w:val="FF0000"/>
                <w:sz w:val="20"/>
              </w:rPr>
              <w:t xml:space="preserve">, </w:t>
            </w:r>
            <w:r w:rsidR="00CD2B64" w:rsidRPr="00FD5649">
              <w:rPr>
                <w:rFonts w:ascii="Times New Roman" w:hAnsi="Times New Roman"/>
                <w:color w:val="FF0000"/>
                <w:sz w:val="20"/>
              </w:rPr>
              <w:t xml:space="preserve">W przypadku monitora dopuszcza się gwarancje typu </w:t>
            </w:r>
            <w:proofErr w:type="spellStart"/>
            <w:r w:rsidR="00CD2B64" w:rsidRPr="00FD5649">
              <w:rPr>
                <w:rFonts w:ascii="Times New Roman" w:hAnsi="Times New Roman"/>
                <w:color w:val="FF0000"/>
                <w:sz w:val="20"/>
              </w:rPr>
              <w:t>doo</w:t>
            </w:r>
            <w:r w:rsidR="00F200F8" w:rsidRPr="00FD5649">
              <w:rPr>
                <w:rFonts w:ascii="Times New Roman" w:hAnsi="Times New Roman"/>
                <w:color w:val="FF0000"/>
                <w:sz w:val="20"/>
              </w:rPr>
              <w:t>r</w:t>
            </w:r>
            <w:proofErr w:type="spellEnd"/>
            <w:r w:rsidR="00CD2B64" w:rsidRPr="00FD5649">
              <w:rPr>
                <w:rFonts w:ascii="Times New Roman" w:hAnsi="Times New Roman"/>
                <w:color w:val="FF0000"/>
                <w:sz w:val="20"/>
              </w:rPr>
              <w:t xml:space="preserve"> to </w:t>
            </w:r>
            <w:proofErr w:type="spellStart"/>
            <w:r w:rsidR="00CD2B64" w:rsidRPr="00FD5649">
              <w:rPr>
                <w:rFonts w:ascii="Times New Roman" w:hAnsi="Times New Roman"/>
                <w:color w:val="FF0000"/>
                <w:sz w:val="20"/>
              </w:rPr>
              <w:t>door</w:t>
            </w:r>
            <w:proofErr w:type="spellEnd"/>
          </w:p>
          <w:p w14:paraId="157F4E02" w14:textId="05AAF9E1" w:rsidR="00CF7D0E" w:rsidRPr="00FD5649" w:rsidRDefault="00CF7D0E" w:rsidP="00CF7D0E">
            <w:pPr>
              <w:spacing w:before="0"/>
              <w:ind w:right="0"/>
              <w:rPr>
                <w:rFonts w:ascii="Times New Roman" w:hAnsi="Times New Roman"/>
                <w:color w:val="FF0000"/>
                <w:sz w:val="20"/>
              </w:rPr>
            </w:pPr>
            <w:r w:rsidRPr="00FD5649">
              <w:rPr>
                <w:rFonts w:ascii="Times New Roman" w:hAnsi="Times New Roman"/>
                <w:color w:val="FF0000"/>
                <w:sz w:val="20"/>
              </w:rPr>
              <w:t>- wówczas koszt transportu do i z naprawy pokrywa Wykonawca,</w:t>
            </w:r>
          </w:p>
          <w:p w14:paraId="6E602327" w14:textId="77777777" w:rsidR="00CF7D0E" w:rsidRPr="00FD5649" w:rsidRDefault="00CF7D0E" w:rsidP="00CF7D0E">
            <w:pPr>
              <w:spacing w:before="0"/>
              <w:ind w:right="0"/>
              <w:rPr>
                <w:rFonts w:ascii="Times New Roman" w:hAnsi="Times New Roman"/>
                <w:color w:val="FF0000"/>
                <w:sz w:val="20"/>
              </w:rPr>
            </w:pPr>
            <w:r w:rsidRPr="00FD5649">
              <w:rPr>
                <w:rFonts w:ascii="Times New Roman" w:hAnsi="Times New Roman"/>
                <w:color w:val="FF0000"/>
                <w:sz w:val="20"/>
              </w:rPr>
              <w:t>- Naprawy gwarancyjne  urządzeń musi być realizowany przez Producenta lub Autoryzowanego Partnera Serwisowego Producenta</w:t>
            </w:r>
          </w:p>
          <w:p w14:paraId="7AB83F77" w14:textId="5822758B" w:rsidR="00CF7D0E" w:rsidRPr="00FD5649" w:rsidRDefault="00CF7D0E" w:rsidP="00CF7D0E">
            <w:pPr>
              <w:spacing w:before="0"/>
              <w:ind w:right="0"/>
              <w:rPr>
                <w:rFonts w:ascii="Times New Roman" w:hAnsi="Times New Roman"/>
                <w:color w:val="FF0000"/>
                <w:sz w:val="20"/>
              </w:rPr>
            </w:pPr>
            <w:r w:rsidRPr="00FD5649">
              <w:rPr>
                <w:rFonts w:ascii="Times New Roman" w:hAnsi="Times New Roman"/>
                <w:color w:val="FF0000"/>
                <w:sz w:val="20"/>
              </w:rPr>
              <w:t xml:space="preserve">- Wszystkie elementy składowe komputera musza  być produkowane lub </w:t>
            </w:r>
            <w:r w:rsidR="001B2135" w:rsidRPr="00FD5649">
              <w:rPr>
                <w:rFonts w:ascii="Times New Roman" w:hAnsi="Times New Roman"/>
                <w:color w:val="FF0000"/>
                <w:sz w:val="20"/>
              </w:rPr>
              <w:t xml:space="preserve">certyfikowane przez producenta </w:t>
            </w:r>
            <w:r w:rsidRPr="00FD5649">
              <w:rPr>
                <w:rFonts w:ascii="Times New Roman" w:hAnsi="Times New Roman"/>
                <w:color w:val="FF0000"/>
                <w:sz w:val="20"/>
              </w:rPr>
              <w:t xml:space="preserve">i muszą być są objęte gwarancją producenta o wymaganym w specyfikacji poziomie SLA </w:t>
            </w:r>
          </w:p>
          <w:p w14:paraId="0967A0C2" w14:textId="77777777" w:rsidR="00CF7D0E" w:rsidRPr="00FD5649" w:rsidRDefault="00CF7D0E" w:rsidP="00CF7D0E">
            <w:pPr>
              <w:spacing w:before="0"/>
              <w:ind w:right="0"/>
              <w:rPr>
                <w:rFonts w:ascii="Times New Roman" w:hAnsi="Times New Roman"/>
                <w:color w:val="FF0000"/>
                <w:sz w:val="20"/>
              </w:rPr>
            </w:pPr>
            <w:r w:rsidRPr="00FD5649">
              <w:rPr>
                <w:rFonts w:ascii="Times New Roman" w:hAnsi="Times New Roman"/>
                <w:color w:val="FF0000"/>
                <w:sz w:val="20"/>
              </w:rPr>
              <w:t>- Możliwość telefonicznego sprawdzenia konfiguracji sprzętowej komputera oraz warunków gwarancji po podaniu numeru seryjnego bezpośrednio u producenta lub jego przedstawiciela.</w:t>
            </w:r>
          </w:p>
          <w:p w14:paraId="678EF4F0" w14:textId="77777777" w:rsidR="00802313" w:rsidRPr="007466A2" w:rsidRDefault="00CF7D0E" w:rsidP="00CF7D0E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FD5649">
              <w:rPr>
                <w:rFonts w:ascii="Times New Roman" w:hAnsi="Times New Roman"/>
                <w:color w:val="FF0000"/>
                <w:sz w:val="20"/>
              </w:rPr>
              <w:t>- 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  <w:tc>
          <w:tcPr>
            <w:tcW w:w="672" w:type="pct"/>
            <w:vAlign w:val="center"/>
          </w:tcPr>
          <w:p w14:paraId="72577972" w14:textId="77777777" w:rsidR="00802313" w:rsidRDefault="00CF7D0E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20DAF796" w14:textId="6F53840E" w:rsidR="00802313" w:rsidRDefault="001D2BBC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D2BBC">
              <w:rPr>
                <w:rFonts w:ascii="Times New Roman" w:eastAsia="Calibri" w:hAnsi="Times New Roman"/>
                <w:b/>
                <w:snapToGrid/>
                <w:color w:val="FF0000"/>
                <w:szCs w:val="22"/>
                <w:u w:val="single"/>
                <w:lang w:val="en-GB"/>
              </w:rPr>
              <w:t>Dodatkowy</w:t>
            </w:r>
            <w:proofErr w:type="spellEnd"/>
            <w:r w:rsidRPr="001D2BBC">
              <w:rPr>
                <w:rFonts w:ascii="Times New Roman" w:eastAsia="Calibri" w:hAnsi="Times New Roman"/>
                <w:b/>
                <w:snapToGrid/>
                <w:color w:val="FF0000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D2BBC">
              <w:rPr>
                <w:rFonts w:ascii="Times New Roman" w:eastAsia="Calibri" w:hAnsi="Times New Roman"/>
                <w:b/>
                <w:snapToGrid/>
                <w:color w:val="FF0000"/>
                <w:szCs w:val="22"/>
                <w:u w:val="single"/>
                <w:lang w:val="en-GB"/>
              </w:rPr>
              <w:t>okres</w:t>
            </w:r>
            <w:proofErr w:type="spellEnd"/>
            <w:r w:rsidRPr="001D2BBC">
              <w:rPr>
                <w:rFonts w:ascii="Times New Roman" w:eastAsia="Calibri" w:hAnsi="Times New Roman"/>
                <w:snapToGrid/>
                <w:color w:val="FF0000"/>
                <w:szCs w:val="22"/>
                <w:lang w:val="en-GB"/>
              </w:rPr>
              <w:t xml:space="preserve"> </w:t>
            </w:r>
            <w:proofErr w:type="spellStart"/>
            <w:r w:rsidRPr="001D2BBC">
              <w:rPr>
                <w:rFonts w:ascii="Times New Roman" w:eastAsia="Calibri" w:hAnsi="Times New Roman"/>
                <w:snapToGrid/>
                <w:color w:val="FF0000"/>
                <w:szCs w:val="22"/>
                <w:lang w:val="en-GB"/>
              </w:rPr>
              <w:t>gwarancji</w:t>
            </w:r>
            <w:proofErr w:type="spellEnd"/>
            <w:r w:rsidRPr="001D2BBC">
              <w:rPr>
                <w:rFonts w:ascii="Times New Roman" w:eastAsia="Calibri" w:hAnsi="Times New Roman"/>
                <w:snapToGrid/>
                <w:color w:val="FF0000"/>
                <w:szCs w:val="22"/>
                <w:lang w:val="en-GB"/>
              </w:rPr>
              <w:t xml:space="preserve"> </w:t>
            </w:r>
            <w:proofErr w:type="spellStart"/>
            <w:r w:rsidRPr="001D2BBC">
              <w:rPr>
                <w:rFonts w:ascii="Times New Roman" w:eastAsia="Calibri" w:hAnsi="Times New Roman"/>
                <w:snapToGrid/>
                <w:color w:val="FF0000"/>
                <w:szCs w:val="22"/>
                <w:lang w:val="en-GB"/>
              </w:rPr>
              <w:t>ponad</w:t>
            </w:r>
            <w:proofErr w:type="spellEnd"/>
            <w:r w:rsidRPr="001D2BBC">
              <w:rPr>
                <w:rFonts w:ascii="Times New Roman" w:eastAsia="Calibri" w:hAnsi="Times New Roman"/>
                <w:snapToGrid/>
                <w:color w:val="FF0000"/>
                <w:szCs w:val="22"/>
                <w:lang w:val="en-GB"/>
              </w:rPr>
              <w:t xml:space="preserve"> </w:t>
            </w:r>
            <w:proofErr w:type="spellStart"/>
            <w:r w:rsidRPr="001D2BBC">
              <w:rPr>
                <w:rFonts w:ascii="Times New Roman" w:eastAsia="Calibri" w:hAnsi="Times New Roman"/>
                <w:snapToGrid/>
                <w:color w:val="FF0000"/>
                <w:szCs w:val="22"/>
                <w:lang w:val="en-GB"/>
              </w:rPr>
              <w:t>minimalny</w:t>
            </w:r>
            <w:proofErr w:type="spellEnd"/>
            <w:r w:rsidRPr="001D2BBC">
              <w:rPr>
                <w:rFonts w:ascii="Times New Roman" w:eastAsia="Calibri" w:hAnsi="Times New Roman"/>
                <w:snapToGrid/>
                <w:color w:val="FF0000"/>
                <w:szCs w:val="22"/>
                <w:lang w:val="en-GB"/>
              </w:rPr>
              <w:t xml:space="preserve"> </w:t>
            </w:r>
            <w:proofErr w:type="spellStart"/>
            <w:r w:rsidRPr="001D2BBC">
              <w:rPr>
                <w:rFonts w:ascii="Times New Roman" w:eastAsia="Calibri" w:hAnsi="Times New Roman"/>
                <w:snapToGrid/>
                <w:color w:val="FF0000"/>
                <w:szCs w:val="22"/>
                <w:lang w:val="en-GB"/>
              </w:rPr>
              <w:t>należy</w:t>
            </w:r>
            <w:proofErr w:type="spellEnd"/>
            <w:r w:rsidRPr="001D2BBC">
              <w:rPr>
                <w:rFonts w:ascii="Times New Roman" w:eastAsia="Calibri" w:hAnsi="Times New Roman"/>
                <w:snapToGrid/>
                <w:color w:val="FF0000"/>
                <w:szCs w:val="22"/>
                <w:lang w:val="en-GB"/>
              </w:rPr>
              <w:t xml:space="preserve"> </w:t>
            </w:r>
            <w:proofErr w:type="spellStart"/>
            <w:r w:rsidRPr="001D2BBC">
              <w:rPr>
                <w:rFonts w:ascii="Times New Roman" w:eastAsia="Calibri" w:hAnsi="Times New Roman"/>
                <w:snapToGrid/>
                <w:color w:val="FF0000"/>
                <w:szCs w:val="22"/>
                <w:lang w:val="en-GB"/>
              </w:rPr>
              <w:t>podać</w:t>
            </w:r>
            <w:proofErr w:type="spellEnd"/>
            <w:r w:rsidRPr="001D2BBC">
              <w:rPr>
                <w:rFonts w:ascii="Times New Roman" w:eastAsia="Calibri" w:hAnsi="Times New Roman"/>
                <w:snapToGrid/>
                <w:color w:val="FF0000"/>
                <w:szCs w:val="22"/>
                <w:lang w:val="en-GB"/>
              </w:rPr>
              <w:t xml:space="preserve"> w </w:t>
            </w:r>
            <w:proofErr w:type="spellStart"/>
            <w:r w:rsidRPr="001D2BBC">
              <w:rPr>
                <w:rFonts w:ascii="Times New Roman" w:eastAsia="Calibri" w:hAnsi="Times New Roman"/>
                <w:snapToGrid/>
                <w:color w:val="FF0000"/>
                <w:szCs w:val="22"/>
                <w:lang w:val="en-GB"/>
              </w:rPr>
              <w:t>formularzu</w:t>
            </w:r>
            <w:proofErr w:type="spellEnd"/>
            <w:r w:rsidRPr="001D2BBC">
              <w:rPr>
                <w:rFonts w:ascii="Times New Roman" w:eastAsia="Calibri" w:hAnsi="Times New Roman"/>
                <w:snapToGrid/>
                <w:color w:val="FF0000"/>
                <w:szCs w:val="22"/>
                <w:lang w:val="en-GB"/>
              </w:rPr>
              <w:t xml:space="preserve"> </w:t>
            </w:r>
            <w:proofErr w:type="spellStart"/>
            <w:r w:rsidRPr="001D2BBC">
              <w:rPr>
                <w:rFonts w:ascii="Times New Roman" w:eastAsia="Calibri" w:hAnsi="Times New Roman"/>
                <w:snapToGrid/>
                <w:color w:val="FF0000"/>
                <w:szCs w:val="22"/>
                <w:lang w:val="en-GB"/>
              </w:rPr>
              <w:t>ofertowym</w:t>
            </w:r>
            <w:proofErr w:type="spellEnd"/>
          </w:p>
        </w:tc>
        <w:tc>
          <w:tcPr>
            <w:tcW w:w="1441" w:type="pct"/>
            <w:vAlign w:val="center"/>
          </w:tcPr>
          <w:p w14:paraId="0B5901FF" w14:textId="299273A1" w:rsidR="00802313" w:rsidRPr="007419D8" w:rsidRDefault="007419D8" w:rsidP="007419D8">
            <w:pPr>
              <w:spacing w:before="0"/>
              <w:ind w:right="0"/>
              <w:jc w:val="center"/>
              <w:rPr>
                <w:rFonts w:ascii="Times New Roman" w:hAnsi="Times New Roman"/>
                <w:b/>
                <w:sz w:val="16"/>
              </w:rPr>
            </w:pPr>
            <w:r w:rsidRPr="007419D8"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>(</w:t>
            </w:r>
            <w:proofErr w:type="spellStart"/>
            <w:r w:rsidRPr="007419D8"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>dodatkowy</w:t>
            </w:r>
            <w:proofErr w:type="spellEnd"/>
            <w:r w:rsidRPr="007419D8"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419D8"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>okres</w:t>
            </w:r>
            <w:proofErr w:type="spellEnd"/>
            <w:r w:rsidRPr="007419D8"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419D8"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>gwarancji</w:t>
            </w:r>
            <w:proofErr w:type="spellEnd"/>
            <w:r w:rsidRPr="007419D8"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419D8"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>będzie</w:t>
            </w:r>
            <w:proofErr w:type="spellEnd"/>
            <w:r w:rsidRPr="007419D8"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419D8"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>punktowany</w:t>
            </w:r>
            <w:proofErr w:type="spellEnd"/>
            <w:r w:rsidRPr="007419D8"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419D8"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>zgodnie</w:t>
            </w:r>
            <w:proofErr w:type="spellEnd"/>
            <w:r w:rsidRPr="007419D8"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 xml:space="preserve"> z </w:t>
            </w:r>
            <w:proofErr w:type="spellStart"/>
            <w:r w:rsidRPr="007419D8"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>kryterium</w:t>
            </w:r>
            <w:proofErr w:type="spellEnd"/>
            <w:r w:rsidRPr="007419D8"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419D8"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>oceny</w:t>
            </w:r>
            <w:proofErr w:type="spellEnd"/>
            <w:r w:rsidRPr="007419D8"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>ofert</w:t>
            </w:r>
            <w:proofErr w:type="spellEnd"/>
            <w:r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>opisanym</w:t>
            </w:r>
            <w:proofErr w:type="spellEnd"/>
            <w:r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 xml:space="preserve"> pkt.38</w:t>
            </w:r>
            <w:r w:rsidRPr="007419D8"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 xml:space="preserve"> SIWZ</w:t>
            </w:r>
            <w:r>
              <w:rPr>
                <w:rFonts w:ascii="Times New Roman" w:eastAsia="Lucida Sans Unicode" w:hAnsi="Times New Roman"/>
                <w:b/>
                <w:i/>
                <w:snapToGrid/>
                <w:kern w:val="1"/>
                <w:sz w:val="22"/>
                <w:szCs w:val="22"/>
                <w:lang w:val="en-GB" w:eastAsia="en-US"/>
              </w:rPr>
              <w:t>)</w:t>
            </w:r>
          </w:p>
        </w:tc>
      </w:tr>
      <w:tr w:rsidR="007466A2" w14:paraId="6F8D3399" w14:textId="77777777" w:rsidTr="00257647">
        <w:trPr>
          <w:cantSplit/>
          <w:trHeight w:val="753"/>
        </w:trPr>
        <w:tc>
          <w:tcPr>
            <w:tcW w:w="178" w:type="pct"/>
            <w:vAlign w:val="center"/>
          </w:tcPr>
          <w:p w14:paraId="6B88B712" w14:textId="77777777" w:rsidR="007466A2" w:rsidRDefault="007466A2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76E42C3D" w14:textId="77777777" w:rsidR="007466A2" w:rsidRPr="007466A2" w:rsidRDefault="007466A2" w:rsidP="007466A2">
            <w:pPr>
              <w:pStyle w:val="Akapitzlist"/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D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Dodatkowe oprogramowanie zarządzające</w:t>
            </w: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2A82265C" w14:textId="77777777"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Oprogramowanie dostarczone przez producenta komputera (w ofercie należy podać nazwę oprogramowania) pozwalające na zdalną inwentaryzację komputerów w sieci, lokalną i zdalną inwentaryzację komponentów komputera, umożliwiające co najmniej:</w:t>
            </w:r>
          </w:p>
          <w:p w14:paraId="5E06572F" w14:textId="77777777"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Informowanie administratora o otwarciu obudowy</w:t>
            </w:r>
          </w:p>
          <w:p w14:paraId="344B9605" w14:textId="77777777"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Zdalne wyłączanie, restart oraz hibernacje komputera w sieci,</w:t>
            </w:r>
          </w:p>
          <w:p w14:paraId="52C6FF87" w14:textId="77777777"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Otrzymywanie informacji WMI – Windows Management Interface,</w:t>
            </w:r>
          </w:p>
          <w:p w14:paraId="3745C359" w14:textId="77777777"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Tworzenie raportów stanu jednostki,</w:t>
            </w:r>
          </w:p>
          <w:p w14:paraId="0A63F6FD" w14:textId="77777777"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Monitorowanie stanu komponentów: CPU, Pamięć RAM, HDD, wersje BIOS,</w:t>
            </w:r>
          </w:p>
          <w:p w14:paraId="38071097" w14:textId="77777777"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Aktualizację BIOS do najnowszej wersji zarówno dla pojedynczej maszyny jak i grupy,</w:t>
            </w:r>
          </w:p>
          <w:p w14:paraId="0214520B" w14:textId="77777777"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Tworzenie kopii zapasowych BIOS wraz z ustawieniami</w:t>
            </w:r>
          </w:p>
          <w:p w14:paraId="609C13A9" w14:textId="77777777"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Tworzenie indywidualnych numerów dla poszczególnych użytkowników,</w:t>
            </w:r>
          </w:p>
          <w:p w14:paraId="5EAB25EB" w14:textId="77777777"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Włączenie lub wyłączanie </w:t>
            </w:r>
            <w:proofErr w:type="spellStart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BOOTowania</w:t>
            </w:r>
            <w:proofErr w:type="spellEnd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portów USB</w:t>
            </w:r>
          </w:p>
          <w:p w14:paraId="66DA8BF3" w14:textId="77777777"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bCs/>
                <w:sz w:val="20"/>
                <w:szCs w:val="20"/>
              </w:rPr>
              <w:t>W pełni  automatyczną instalację sterowników urządzeń opartą o automatyczną detekcję posiadanego sprzętu</w:t>
            </w:r>
          </w:p>
          <w:p w14:paraId="6937D279" w14:textId="77777777" w:rsidR="007466A2" w:rsidRPr="007466A2" w:rsidRDefault="007466A2" w:rsidP="00CF7D0E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72" w:type="pct"/>
            <w:vAlign w:val="center"/>
          </w:tcPr>
          <w:p w14:paraId="1D926D10" w14:textId="77777777" w:rsidR="007466A2" w:rsidRDefault="007466A2" w:rsidP="007466A2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  <w:p w14:paraId="540E597F" w14:textId="77777777" w:rsidR="007419D8" w:rsidRDefault="007419D8" w:rsidP="007466A2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  <w:p w14:paraId="0D141A27" w14:textId="72F67C3E" w:rsidR="00C55076" w:rsidRPr="001D2BBC" w:rsidRDefault="00C55076" w:rsidP="007466A2">
            <w:pPr>
              <w:spacing w:before="0"/>
              <w:ind w:right="0"/>
              <w:jc w:val="center"/>
              <w:rPr>
                <w:rFonts w:ascii="Times New Roman" w:hAnsi="Times New Roman"/>
                <w:i/>
              </w:rPr>
            </w:pPr>
            <w:r w:rsidRPr="001D2BBC">
              <w:rPr>
                <w:rFonts w:ascii="Times New Roman" w:hAnsi="Times New Roman"/>
                <w:i/>
              </w:rPr>
              <w:t>TAK – 8 pkt</w:t>
            </w:r>
          </w:p>
          <w:p w14:paraId="75095B38" w14:textId="44752575" w:rsidR="00C55076" w:rsidRPr="001D2BBC" w:rsidRDefault="00C55076" w:rsidP="007466A2">
            <w:pPr>
              <w:spacing w:before="0"/>
              <w:ind w:right="0"/>
              <w:jc w:val="center"/>
              <w:rPr>
                <w:rFonts w:ascii="Times New Roman" w:hAnsi="Times New Roman"/>
                <w:i/>
              </w:rPr>
            </w:pPr>
            <w:r w:rsidRPr="001D2BBC">
              <w:rPr>
                <w:rFonts w:ascii="Times New Roman" w:hAnsi="Times New Roman"/>
                <w:i/>
              </w:rPr>
              <w:t xml:space="preserve">NIE – 0 pkt </w:t>
            </w:r>
          </w:p>
          <w:p w14:paraId="156EB104" w14:textId="2BFBAAC1" w:rsidR="007466A2" w:rsidRDefault="007466A2" w:rsidP="007466A2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 w:rsidRPr="007466A2">
              <w:rPr>
                <w:rFonts w:ascii="Times New Roman" w:hAnsi="Times New Roman"/>
                <w:b/>
                <w:i/>
              </w:rPr>
              <w:t>(</w:t>
            </w:r>
            <w:r w:rsidR="007419D8">
              <w:rPr>
                <w:rFonts w:ascii="Times New Roman" w:hAnsi="Times New Roman"/>
                <w:b/>
                <w:i/>
              </w:rPr>
              <w:t xml:space="preserve">zgodnie z </w:t>
            </w:r>
            <w:r w:rsidRPr="007466A2">
              <w:rPr>
                <w:rFonts w:ascii="Times New Roman" w:hAnsi="Times New Roman"/>
                <w:b/>
                <w:i/>
              </w:rPr>
              <w:t>kryterium oceny ofert</w:t>
            </w:r>
            <w:r w:rsidR="007419D8">
              <w:rPr>
                <w:rFonts w:ascii="Times New Roman" w:hAnsi="Times New Roman"/>
                <w:b/>
                <w:i/>
              </w:rPr>
              <w:t xml:space="preserve"> opisanym w pkt 38 SIWZ</w:t>
            </w:r>
            <w:r w:rsidRPr="007466A2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673" w:type="pct"/>
            <w:vAlign w:val="center"/>
          </w:tcPr>
          <w:p w14:paraId="5289B4C1" w14:textId="77777777" w:rsidR="007466A2" w:rsidRDefault="007466A2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center"/>
          </w:tcPr>
          <w:p w14:paraId="07E822D6" w14:textId="77777777" w:rsidR="007466A2" w:rsidRPr="001B2135" w:rsidRDefault="001B2135" w:rsidP="001B2135">
            <w:pPr>
              <w:spacing w:before="0"/>
              <w:ind w:right="0"/>
              <w:jc w:val="center"/>
              <w:rPr>
                <w:rFonts w:ascii="Times New Roman" w:hAnsi="Times New Roman"/>
                <w:i/>
                <w:sz w:val="16"/>
              </w:rPr>
            </w:pPr>
            <w:r w:rsidRPr="001B2135">
              <w:rPr>
                <w:rFonts w:ascii="Times New Roman" w:hAnsi="Times New Roman"/>
                <w:i/>
                <w:color w:val="000000"/>
                <w:sz w:val="20"/>
              </w:rPr>
              <w:t>(w przypadku zakreślenia opcji TAK należy podać nazwę oferowanego oprogramowania wraz z informacją o jego funkcjonalności oprogramowania)</w:t>
            </w:r>
          </w:p>
        </w:tc>
      </w:tr>
      <w:tr w:rsidR="00567AD4" w14:paraId="25FE4FF7" w14:textId="77777777" w:rsidTr="00257647">
        <w:trPr>
          <w:cantSplit/>
          <w:trHeight w:val="567"/>
        </w:trPr>
        <w:tc>
          <w:tcPr>
            <w:tcW w:w="178" w:type="pct"/>
            <w:vAlign w:val="center"/>
          </w:tcPr>
          <w:p w14:paraId="7AB27DF0" w14:textId="02FD6790"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2C966796" w14:textId="77777777" w:rsidR="00567AD4" w:rsidRPr="006E1118" w:rsidRDefault="00567AD4" w:rsidP="00CA13AC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664757">
              <w:rPr>
                <w:rFonts w:ascii="Times New Roman" w:hAnsi="Times New Roman"/>
                <w:sz w:val="20"/>
              </w:rPr>
              <w:t>Dołączone oprogramowanie producenta monitora pozwalające na zdalne sprawdzenie parametrów pracy oraz konfigurację ustawień monitora</w:t>
            </w:r>
          </w:p>
        </w:tc>
        <w:tc>
          <w:tcPr>
            <w:tcW w:w="672" w:type="pct"/>
            <w:vAlign w:val="center"/>
          </w:tcPr>
          <w:p w14:paraId="2110A1A9" w14:textId="77777777" w:rsidR="00567AD4" w:rsidRDefault="000842D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1616A4C4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center"/>
          </w:tcPr>
          <w:p w14:paraId="7DBBBAE8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7AD4" w14:paraId="0C29C56C" w14:textId="77777777" w:rsidTr="00257647">
        <w:trPr>
          <w:cantSplit/>
          <w:trHeight w:val="567"/>
        </w:trPr>
        <w:tc>
          <w:tcPr>
            <w:tcW w:w="178" w:type="pct"/>
            <w:vAlign w:val="center"/>
          </w:tcPr>
          <w:p w14:paraId="284E8FF9" w14:textId="77777777"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14:paraId="68F603BE" w14:textId="77777777" w:rsidR="00567AD4" w:rsidRDefault="00567AD4" w:rsidP="00CA13AC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664757">
              <w:rPr>
                <w:rFonts w:ascii="Times New Roman" w:hAnsi="Times New Roman"/>
                <w:b/>
                <w:bCs/>
                <w:sz w:val="20"/>
              </w:rPr>
              <w:t>Normy i standardy</w:t>
            </w:r>
            <w:r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  <w:p w14:paraId="40FA8A62" w14:textId="77777777" w:rsidR="00567AD4" w:rsidRPr="006E1118" w:rsidRDefault="00567AD4" w:rsidP="00CA13AC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664757">
              <w:rPr>
                <w:rFonts w:ascii="Times New Roman" w:hAnsi="Times New Roman"/>
                <w:sz w:val="20"/>
              </w:rPr>
              <w:t xml:space="preserve">Monitory muszą być wykonane zgodnie  normami i posiadać Certyfikaty: TCO 7.0, ISO9241-307, EPEAT </w:t>
            </w:r>
            <w:proofErr w:type="spellStart"/>
            <w:r w:rsidRPr="00664757">
              <w:rPr>
                <w:rFonts w:ascii="Times New Roman" w:hAnsi="Times New Roman"/>
                <w:sz w:val="20"/>
              </w:rPr>
              <w:t>Bronze</w:t>
            </w:r>
            <w:proofErr w:type="spellEnd"/>
            <w:r w:rsidRPr="00664757">
              <w:rPr>
                <w:rFonts w:ascii="Times New Roman" w:hAnsi="Times New Roman"/>
                <w:sz w:val="20"/>
              </w:rPr>
              <w:t xml:space="preserve">, Energy Star 7.0, TÜV </w:t>
            </w:r>
            <w:proofErr w:type="spellStart"/>
            <w:r w:rsidRPr="00664757">
              <w:rPr>
                <w:rFonts w:ascii="Times New Roman" w:hAnsi="Times New Roman"/>
                <w:sz w:val="20"/>
              </w:rPr>
              <w:t>Low</w:t>
            </w:r>
            <w:proofErr w:type="spellEnd"/>
            <w:r w:rsidRPr="00664757">
              <w:rPr>
                <w:rFonts w:ascii="Times New Roman" w:hAnsi="Times New Roman"/>
                <w:sz w:val="20"/>
              </w:rPr>
              <w:t xml:space="preserve"> Blue </w:t>
            </w:r>
            <w:proofErr w:type="spellStart"/>
            <w:r w:rsidRPr="00664757">
              <w:rPr>
                <w:rFonts w:ascii="Times New Roman" w:hAnsi="Times New Roman"/>
                <w:sz w:val="20"/>
              </w:rPr>
              <w:t>Light</w:t>
            </w:r>
            <w:proofErr w:type="spellEnd"/>
            <w:r w:rsidRPr="00664757">
              <w:rPr>
                <w:rFonts w:ascii="Times New Roman" w:hAnsi="Times New Roman"/>
                <w:sz w:val="20"/>
              </w:rPr>
              <w:t xml:space="preserve">, TÜV </w:t>
            </w:r>
            <w:proofErr w:type="spellStart"/>
            <w:r w:rsidRPr="00664757">
              <w:rPr>
                <w:rFonts w:ascii="Times New Roman" w:hAnsi="Times New Roman"/>
                <w:sz w:val="20"/>
              </w:rPr>
              <w:t>Flicker</w:t>
            </w:r>
            <w:proofErr w:type="spellEnd"/>
            <w:r w:rsidRPr="006647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20"/>
              </w:rPr>
              <w:t>Free</w:t>
            </w:r>
            <w:proofErr w:type="spellEnd"/>
            <w:r w:rsidRPr="00664757">
              <w:rPr>
                <w:rFonts w:ascii="Times New Roman" w:hAnsi="Times New Roman"/>
                <w:sz w:val="20"/>
              </w:rPr>
              <w:t xml:space="preserve"> – lub inne dokumenty wdane przez niezależny podmiot uprawniony do kontroli jakości, potwierdzające, że dostarczone monitory odpowiadają wskazanym normom.</w:t>
            </w:r>
          </w:p>
        </w:tc>
        <w:tc>
          <w:tcPr>
            <w:tcW w:w="672" w:type="pct"/>
            <w:vAlign w:val="center"/>
          </w:tcPr>
          <w:p w14:paraId="669B9CD4" w14:textId="77777777" w:rsidR="00567AD4" w:rsidRDefault="000842D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14:paraId="7ADC58F0" w14:textId="77777777" w:rsidR="00567AD4" w:rsidRDefault="003D6BA9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</w:t>
            </w:r>
          </w:p>
        </w:tc>
        <w:tc>
          <w:tcPr>
            <w:tcW w:w="1441" w:type="pct"/>
            <w:vAlign w:val="center"/>
          </w:tcPr>
          <w:p w14:paraId="724CECEA" w14:textId="77777777"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8480343" w14:textId="77777777" w:rsidR="00B6448C" w:rsidRPr="00832E82" w:rsidRDefault="00B6448C" w:rsidP="00CA13AC">
      <w:pPr>
        <w:spacing w:before="0"/>
        <w:ind w:right="0"/>
        <w:jc w:val="left"/>
        <w:rPr>
          <w:rFonts w:ascii="Times New Roman" w:hAnsi="Times New Roman"/>
          <w:sz w:val="6"/>
        </w:rPr>
      </w:pPr>
    </w:p>
    <w:p w14:paraId="23A13B7C" w14:textId="77777777" w:rsidR="00B6448C" w:rsidRDefault="00B6448C" w:rsidP="00CA13AC">
      <w:pPr>
        <w:spacing w:before="0"/>
        <w:ind w:right="0"/>
        <w:jc w:val="left"/>
        <w:rPr>
          <w:rFonts w:ascii="Times New Roman" w:hAnsi="Times New Roman"/>
          <w:sz w:val="34"/>
        </w:rPr>
      </w:pPr>
    </w:p>
    <w:p w14:paraId="7B73BE90" w14:textId="77777777" w:rsidR="000842D8" w:rsidRDefault="000842D8" w:rsidP="00CA13AC">
      <w:pPr>
        <w:spacing w:before="0"/>
        <w:ind w:right="0"/>
        <w:jc w:val="left"/>
        <w:rPr>
          <w:rFonts w:ascii="Times New Roman" w:hAnsi="Times New Roman"/>
          <w:sz w:val="3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3256"/>
        <w:gridCol w:w="6629"/>
      </w:tblGrid>
      <w:tr w:rsidR="00B6448C" w14:paraId="2B7321C9" w14:textId="77777777" w:rsidTr="007C1F3A">
        <w:trPr>
          <w:jc w:val="center"/>
        </w:trPr>
        <w:tc>
          <w:tcPr>
            <w:tcW w:w="4945" w:type="dxa"/>
          </w:tcPr>
          <w:p w14:paraId="22629532" w14:textId="77777777" w:rsidR="00B6448C" w:rsidRPr="003D6BA9" w:rsidRDefault="00B6448C" w:rsidP="00CA13AC">
            <w:pPr>
              <w:spacing w:before="0"/>
              <w:ind w:right="0"/>
              <w:jc w:val="left"/>
              <w:rPr>
                <w:rFonts w:ascii="Times New Roman" w:hAnsi="Times New Roman"/>
                <w:sz w:val="20"/>
              </w:rPr>
            </w:pPr>
            <w:r w:rsidRPr="003D6BA9">
              <w:rPr>
                <w:rFonts w:ascii="Times New Roman" w:hAnsi="Times New Roman"/>
                <w:sz w:val="20"/>
              </w:rPr>
              <w:t>........................</w:t>
            </w:r>
            <w:r w:rsidR="003D6BA9">
              <w:rPr>
                <w:rFonts w:ascii="Times New Roman" w:hAnsi="Times New Roman"/>
                <w:sz w:val="20"/>
              </w:rPr>
              <w:t>.......</w:t>
            </w:r>
            <w:r w:rsidRPr="003D6BA9">
              <w:rPr>
                <w:rFonts w:ascii="Times New Roman" w:hAnsi="Times New Roman"/>
                <w:sz w:val="20"/>
              </w:rPr>
              <w:t>........ dnia .....................</w:t>
            </w:r>
            <w:r w:rsidR="003D6BA9">
              <w:rPr>
                <w:rFonts w:ascii="Times New Roman" w:hAnsi="Times New Roman"/>
                <w:sz w:val="20"/>
              </w:rPr>
              <w:t>...</w:t>
            </w:r>
            <w:r w:rsidRPr="003D6BA9">
              <w:rPr>
                <w:rFonts w:ascii="Times New Roman" w:hAnsi="Times New Roman"/>
                <w:sz w:val="20"/>
              </w:rPr>
              <w:t>..............</w:t>
            </w:r>
          </w:p>
        </w:tc>
        <w:tc>
          <w:tcPr>
            <w:tcW w:w="3256" w:type="dxa"/>
          </w:tcPr>
          <w:p w14:paraId="3B0274CF" w14:textId="77777777" w:rsidR="00B6448C" w:rsidRDefault="00B6448C" w:rsidP="00CA13AC">
            <w:pPr>
              <w:spacing w:before="0"/>
              <w:ind w:left="941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29" w:type="dxa"/>
            <w:vAlign w:val="bottom"/>
          </w:tcPr>
          <w:p w14:paraId="6847F446" w14:textId="77777777" w:rsidR="00B6448C" w:rsidRDefault="00B6448C" w:rsidP="00CA13AC">
            <w:pPr>
              <w:spacing w:before="0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</w:t>
            </w:r>
          </w:p>
        </w:tc>
      </w:tr>
      <w:tr w:rsidR="00B6448C" w14:paraId="2E5F8091" w14:textId="77777777" w:rsidTr="007C1F3A">
        <w:trPr>
          <w:trHeight w:val="87"/>
          <w:jc w:val="center"/>
        </w:trPr>
        <w:tc>
          <w:tcPr>
            <w:tcW w:w="4945" w:type="dxa"/>
          </w:tcPr>
          <w:p w14:paraId="7AE3D543" w14:textId="77777777" w:rsidR="00B6448C" w:rsidRDefault="00B6448C" w:rsidP="00CA13AC">
            <w:pPr>
              <w:spacing w:before="0"/>
              <w:ind w:left="941" w:right="134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Miejscowość i data</w:t>
            </w:r>
          </w:p>
        </w:tc>
        <w:tc>
          <w:tcPr>
            <w:tcW w:w="3256" w:type="dxa"/>
          </w:tcPr>
          <w:p w14:paraId="117962DB" w14:textId="77777777" w:rsidR="00B6448C" w:rsidRDefault="00B6448C" w:rsidP="00CA13AC">
            <w:pPr>
              <w:spacing w:before="0"/>
              <w:ind w:left="941" w:right="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6629" w:type="dxa"/>
          </w:tcPr>
          <w:p w14:paraId="78D2143E" w14:textId="77777777" w:rsidR="00B6448C" w:rsidRDefault="00B6448C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podpis i pieczęć  osoby (osób) uprawnionych do składania oświadczeń </w:t>
            </w:r>
            <w:r>
              <w:rPr>
                <w:rFonts w:ascii="Times New Roman" w:hAnsi="Times New Roman"/>
                <w:sz w:val="18"/>
              </w:rPr>
              <w:br/>
              <w:t>woli w imieniu wykonawcy</w:t>
            </w:r>
          </w:p>
        </w:tc>
      </w:tr>
    </w:tbl>
    <w:p w14:paraId="20D3FFD6" w14:textId="77777777" w:rsidR="00B6448C" w:rsidRDefault="00B6448C" w:rsidP="00CA13AC">
      <w:pPr>
        <w:shd w:val="clear" w:color="auto" w:fill="FFFFFF"/>
        <w:spacing w:before="0"/>
        <w:ind w:left="426" w:right="-29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r>
        <w:rPr>
          <w:rFonts w:ascii="Times New Roman" w:hAnsi="Times New Roman"/>
          <w:sz w:val="20"/>
        </w:rPr>
        <w:tab/>
        <w:t>niewłaściwe skreślić</w:t>
      </w:r>
    </w:p>
    <w:p w14:paraId="2E0FF2B1" w14:textId="77777777" w:rsidR="00893446" w:rsidRDefault="00893446" w:rsidP="00CA13AC">
      <w:pPr>
        <w:spacing w:before="0"/>
      </w:pPr>
    </w:p>
    <w:sectPr w:rsidR="00893446" w:rsidSect="009F3BCF">
      <w:headerReference w:type="default" r:id="rId8"/>
      <w:footerReference w:type="even" r:id="rId9"/>
      <w:footerReference w:type="default" r:id="rId10"/>
      <w:pgSz w:w="16840" w:h="11907" w:orient="landscape" w:code="9"/>
      <w:pgMar w:top="851" w:right="1134" w:bottom="454" w:left="1134" w:header="283" w:footer="283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F2801" w14:textId="77777777" w:rsidR="00D60649" w:rsidRDefault="00D60649">
      <w:pPr>
        <w:spacing w:before="0"/>
      </w:pPr>
      <w:r>
        <w:separator/>
      </w:r>
    </w:p>
  </w:endnote>
  <w:endnote w:type="continuationSeparator" w:id="0">
    <w:p w14:paraId="616785F1" w14:textId="77777777" w:rsidR="00D60649" w:rsidRDefault="00D606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C56DF" w14:textId="77777777" w:rsidR="00A261C7" w:rsidRDefault="00B503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B6DA2C5" w14:textId="77777777" w:rsidR="00A261C7" w:rsidRDefault="00D606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88064"/>
      <w:docPartObj>
        <w:docPartGallery w:val="Page Numbers (Bottom of Page)"/>
        <w:docPartUnique/>
      </w:docPartObj>
    </w:sdtPr>
    <w:sdtEndPr/>
    <w:sdtContent>
      <w:p w14:paraId="3C405155" w14:textId="77777777" w:rsidR="006067CC" w:rsidRDefault="006067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BCF">
          <w:rPr>
            <w:noProof/>
          </w:rPr>
          <w:t>9</w:t>
        </w:r>
        <w:r>
          <w:fldChar w:fldCharType="end"/>
        </w:r>
      </w:p>
    </w:sdtContent>
  </w:sdt>
  <w:p w14:paraId="0A7CFA21" w14:textId="77777777" w:rsidR="00A261C7" w:rsidRDefault="00D60649" w:rsidP="0078451D">
    <w:pPr>
      <w:pStyle w:val="Stopka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F97DB" w14:textId="77777777" w:rsidR="00D60649" w:rsidRDefault="00D60649">
      <w:pPr>
        <w:spacing w:before="0"/>
      </w:pPr>
      <w:r>
        <w:separator/>
      </w:r>
    </w:p>
  </w:footnote>
  <w:footnote w:type="continuationSeparator" w:id="0">
    <w:p w14:paraId="23234C68" w14:textId="77777777" w:rsidR="00D60649" w:rsidRDefault="00D606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B9ADE" w14:textId="77777777" w:rsidR="00CA13AC" w:rsidRPr="00CA13AC" w:rsidRDefault="00CA13AC" w:rsidP="00CA13AC">
    <w:pPr>
      <w:pStyle w:val="Nagwek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71F3"/>
    <w:multiLevelType w:val="hybridMultilevel"/>
    <w:tmpl w:val="C6AE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4841"/>
    <w:multiLevelType w:val="hybridMultilevel"/>
    <w:tmpl w:val="64487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5277"/>
    <w:multiLevelType w:val="hybridMultilevel"/>
    <w:tmpl w:val="EAAC6F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B0CC7"/>
    <w:multiLevelType w:val="hybridMultilevel"/>
    <w:tmpl w:val="88BC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367A"/>
    <w:multiLevelType w:val="hybridMultilevel"/>
    <w:tmpl w:val="C8CEFC96"/>
    <w:lvl w:ilvl="0" w:tplc="FFFFFFFF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E0F4E"/>
    <w:multiLevelType w:val="hybridMultilevel"/>
    <w:tmpl w:val="F99C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F28BB"/>
    <w:multiLevelType w:val="hybridMultilevel"/>
    <w:tmpl w:val="3D0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13618"/>
    <w:multiLevelType w:val="hybridMultilevel"/>
    <w:tmpl w:val="018831E0"/>
    <w:lvl w:ilvl="0" w:tplc="0415000D">
      <w:start w:val="1"/>
      <w:numFmt w:val="bullet"/>
      <w:lvlText w:val=""/>
      <w:lvlJc w:val="left"/>
      <w:pPr>
        <w:ind w:left="1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8" w15:restartNumberingAfterBreak="0">
    <w:nsid w:val="36E237AD"/>
    <w:multiLevelType w:val="hybridMultilevel"/>
    <w:tmpl w:val="2800D7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42567"/>
    <w:multiLevelType w:val="hybridMultilevel"/>
    <w:tmpl w:val="1EC4A152"/>
    <w:lvl w:ilvl="0" w:tplc="61C07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71E19"/>
    <w:multiLevelType w:val="hybridMultilevel"/>
    <w:tmpl w:val="DB607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3568A"/>
    <w:multiLevelType w:val="hybridMultilevel"/>
    <w:tmpl w:val="D662F8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17BEB"/>
    <w:multiLevelType w:val="hybridMultilevel"/>
    <w:tmpl w:val="53462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611D2"/>
    <w:multiLevelType w:val="hybridMultilevel"/>
    <w:tmpl w:val="E5C67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60761"/>
    <w:multiLevelType w:val="hybridMultilevel"/>
    <w:tmpl w:val="8D8EED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377D4"/>
    <w:multiLevelType w:val="hybridMultilevel"/>
    <w:tmpl w:val="8E1EA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C69F0"/>
    <w:multiLevelType w:val="hybridMultilevel"/>
    <w:tmpl w:val="88BC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B0EFA"/>
    <w:multiLevelType w:val="hybridMultilevel"/>
    <w:tmpl w:val="88BC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D5F25"/>
    <w:multiLevelType w:val="hybridMultilevel"/>
    <w:tmpl w:val="B4D83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31522"/>
    <w:multiLevelType w:val="hybridMultilevel"/>
    <w:tmpl w:val="1D4C46D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7EFE2A4F"/>
    <w:multiLevelType w:val="hybridMultilevel"/>
    <w:tmpl w:val="2112F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20"/>
  </w:num>
  <w:num w:numId="9">
    <w:abstractNumId w:val="16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2"/>
  </w:num>
  <w:num w:numId="16">
    <w:abstractNumId w:val="18"/>
  </w:num>
  <w:num w:numId="17">
    <w:abstractNumId w:val="10"/>
  </w:num>
  <w:num w:numId="18">
    <w:abstractNumId w:val="5"/>
  </w:num>
  <w:num w:numId="19">
    <w:abstractNumId w:val="1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8C"/>
    <w:rsid w:val="00082959"/>
    <w:rsid w:val="000842D8"/>
    <w:rsid w:val="000D1D47"/>
    <w:rsid w:val="00115A8B"/>
    <w:rsid w:val="00130FE4"/>
    <w:rsid w:val="0019733F"/>
    <w:rsid w:val="001B2135"/>
    <w:rsid w:val="001C5432"/>
    <w:rsid w:val="001D2BBC"/>
    <w:rsid w:val="002015DE"/>
    <w:rsid w:val="00257647"/>
    <w:rsid w:val="002B45A9"/>
    <w:rsid w:val="002C350D"/>
    <w:rsid w:val="00306E55"/>
    <w:rsid w:val="00321316"/>
    <w:rsid w:val="0032405C"/>
    <w:rsid w:val="00361F79"/>
    <w:rsid w:val="003A7B69"/>
    <w:rsid w:val="003D6BA9"/>
    <w:rsid w:val="003E04F8"/>
    <w:rsid w:val="00401A69"/>
    <w:rsid w:val="00401CC1"/>
    <w:rsid w:val="00424358"/>
    <w:rsid w:val="004B5AF9"/>
    <w:rsid w:val="00557513"/>
    <w:rsid w:val="00567AD4"/>
    <w:rsid w:val="00601B71"/>
    <w:rsid w:val="006067CC"/>
    <w:rsid w:val="00653DE2"/>
    <w:rsid w:val="00664757"/>
    <w:rsid w:val="006A316E"/>
    <w:rsid w:val="006E1118"/>
    <w:rsid w:val="006E1331"/>
    <w:rsid w:val="00705EB7"/>
    <w:rsid w:val="0070665B"/>
    <w:rsid w:val="007419D8"/>
    <w:rsid w:val="007466A2"/>
    <w:rsid w:val="0078451D"/>
    <w:rsid w:val="007C2A44"/>
    <w:rsid w:val="007F5FB1"/>
    <w:rsid w:val="00802313"/>
    <w:rsid w:val="00893446"/>
    <w:rsid w:val="00894938"/>
    <w:rsid w:val="00977836"/>
    <w:rsid w:val="009F3BCF"/>
    <w:rsid w:val="00B01D46"/>
    <w:rsid w:val="00B04688"/>
    <w:rsid w:val="00B12604"/>
    <w:rsid w:val="00B5034B"/>
    <w:rsid w:val="00B6448C"/>
    <w:rsid w:val="00C55076"/>
    <w:rsid w:val="00C80EBE"/>
    <w:rsid w:val="00CA13AC"/>
    <w:rsid w:val="00CD2B64"/>
    <w:rsid w:val="00CF7D0E"/>
    <w:rsid w:val="00D60649"/>
    <w:rsid w:val="00DD7871"/>
    <w:rsid w:val="00DF2854"/>
    <w:rsid w:val="00E6288A"/>
    <w:rsid w:val="00EB3577"/>
    <w:rsid w:val="00F200F8"/>
    <w:rsid w:val="00F7424A"/>
    <w:rsid w:val="00F95516"/>
    <w:rsid w:val="00FC032B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A908E"/>
  <w15:chartTrackingRefBased/>
  <w15:docId w15:val="{9B099DE4-D265-4E1C-BCC0-756898D5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48C"/>
    <w:pPr>
      <w:widowControl w:val="0"/>
      <w:spacing w:before="580" w:after="0" w:line="240" w:lineRule="auto"/>
      <w:ind w:right="600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5E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5A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6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48C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styleId="Numerstrony">
    <w:name w:val="page number"/>
    <w:basedOn w:val="Domylnaczcionkaakapitu"/>
    <w:rsid w:val="00B6448C"/>
  </w:style>
  <w:style w:type="paragraph" w:styleId="Akapitzlist">
    <w:name w:val="List Paragraph"/>
    <w:basedOn w:val="Normalny"/>
    <w:uiPriority w:val="99"/>
    <w:qFormat/>
    <w:rsid w:val="00B6448C"/>
    <w:pPr>
      <w:widowControl/>
      <w:spacing w:before="0" w:after="200" w:line="276" w:lineRule="auto"/>
      <w:ind w:left="720" w:right="0"/>
      <w:contextualSpacing/>
      <w:jc w:val="left"/>
    </w:pPr>
    <w:rPr>
      <w:rFonts w:ascii="Calibri" w:hAnsi="Calibri"/>
      <w:snapToGrid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8451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78451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Bezodstpw">
    <w:name w:val="No Spacing"/>
    <w:uiPriority w:val="1"/>
    <w:qFormat/>
    <w:rsid w:val="00705EB7"/>
    <w:pPr>
      <w:widowControl w:val="0"/>
      <w:spacing w:after="0" w:line="240" w:lineRule="auto"/>
      <w:ind w:right="600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5EB7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5A8B"/>
    <w:rPr>
      <w:rFonts w:asciiTheme="majorHAnsi" w:eastAsiaTheme="majorEastAsia" w:hAnsiTheme="majorHAnsi" w:cstheme="majorBidi"/>
      <w:i/>
      <w:iCs/>
      <w:snapToGrid w:val="0"/>
      <w:color w:val="2F5496" w:themeColor="accent1" w:themeShade="BF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24BB-2DF4-437B-A45F-54258FF5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1955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riwan</cp:lastModifiedBy>
  <cp:revision>3</cp:revision>
  <dcterms:created xsi:type="dcterms:W3CDTF">2020-11-30T09:22:00Z</dcterms:created>
  <dcterms:modified xsi:type="dcterms:W3CDTF">2020-11-30T09:48:00Z</dcterms:modified>
</cp:coreProperties>
</file>