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22B4" w14:textId="41F1EA6B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Załącznik nr 2a do SWZ</w:t>
      </w:r>
    </w:p>
    <w:p w14:paraId="78BADB0B" w14:textId="77777777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</w:p>
    <w:p w14:paraId="24C15FC0" w14:textId="7507ECCB" w:rsidR="00940DD2" w:rsidRDefault="00242A5B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ZESTAWIENIE PARAMETRÓW I WARUNKÓW TECHNICZNYCH</w:t>
      </w:r>
    </w:p>
    <w:p w14:paraId="609361C1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E51D7EB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98307C4" w14:textId="3BBB21F4" w:rsidR="00940DD2" w:rsidRPr="00B70971" w:rsidRDefault="00B70971" w:rsidP="00B70971">
      <w:pPr>
        <w:jc w:val="center"/>
        <w:rPr>
          <w:b/>
          <w:bCs/>
          <w:sz w:val="28"/>
          <w:szCs w:val="28"/>
          <w:u w:val="single"/>
          <w:lang w:eastAsia="zh-CN"/>
        </w:rPr>
      </w:pPr>
      <w:r w:rsidRPr="00B70971">
        <w:rPr>
          <w:b/>
          <w:bCs/>
          <w:sz w:val="28"/>
          <w:szCs w:val="28"/>
          <w:u w:val="single"/>
          <w:lang w:eastAsia="zh-CN"/>
        </w:rPr>
        <w:t xml:space="preserve">Pakiet nr </w:t>
      </w:r>
      <w:r>
        <w:rPr>
          <w:b/>
          <w:bCs/>
          <w:sz w:val="28"/>
          <w:szCs w:val="28"/>
          <w:u w:val="single"/>
          <w:lang w:eastAsia="zh-CN"/>
        </w:rPr>
        <w:t>1</w:t>
      </w:r>
    </w:p>
    <w:p w14:paraId="22CDBAD4" w14:textId="5A32FEE8" w:rsidR="00940DD2" w:rsidRPr="00B70971" w:rsidRDefault="00242A5B" w:rsidP="00B70971">
      <w:pPr>
        <w:jc w:val="center"/>
        <w:rPr>
          <w:b/>
          <w:bCs/>
          <w:sz w:val="24"/>
          <w:szCs w:val="24"/>
        </w:rPr>
      </w:pPr>
      <w:r w:rsidRPr="00B70971">
        <w:rPr>
          <w:b/>
          <w:bCs/>
          <w:sz w:val="24"/>
          <w:szCs w:val="24"/>
        </w:rPr>
        <w:t>Pompy insulinowe dla dzieci  od 0 do 18  roku życia - pompy z regulacją</w:t>
      </w:r>
    </w:p>
    <w:p w14:paraId="49851B93" w14:textId="7169ED8F" w:rsidR="00940DD2" w:rsidRPr="00B70971" w:rsidRDefault="00242A5B" w:rsidP="00B70971">
      <w:pPr>
        <w:jc w:val="center"/>
        <w:rPr>
          <w:b/>
          <w:bCs/>
          <w:sz w:val="24"/>
          <w:szCs w:val="24"/>
        </w:rPr>
      </w:pPr>
      <w:r w:rsidRPr="00B70971">
        <w:rPr>
          <w:b/>
          <w:bCs/>
          <w:sz w:val="24"/>
          <w:szCs w:val="24"/>
        </w:rPr>
        <w:t xml:space="preserve">dawki bazy 0,1j./godzinę w ilości </w:t>
      </w:r>
      <w:r w:rsidR="00DE3FD0" w:rsidRPr="00B70971">
        <w:rPr>
          <w:b/>
          <w:bCs/>
          <w:sz w:val="24"/>
          <w:szCs w:val="24"/>
        </w:rPr>
        <w:t>5</w:t>
      </w:r>
      <w:r w:rsidRPr="00B70971">
        <w:rPr>
          <w:b/>
          <w:bCs/>
          <w:sz w:val="24"/>
          <w:szCs w:val="24"/>
        </w:rPr>
        <w:t>0 szt</w:t>
      </w:r>
      <w:r w:rsidR="00B70971" w:rsidRPr="00B70971">
        <w:rPr>
          <w:b/>
          <w:bCs/>
          <w:sz w:val="24"/>
          <w:szCs w:val="24"/>
        </w:rPr>
        <w:t>.</w:t>
      </w:r>
    </w:p>
    <w:p w14:paraId="48C11EE0" w14:textId="77777777" w:rsidR="00940DD2" w:rsidRPr="00B70971" w:rsidRDefault="00940DD2">
      <w:pPr>
        <w:rPr>
          <w:rFonts w:ascii="TimesNewRomanPSMT" w:hAnsi="TimesNewRomanPSMT" w:cs="TimesNewRomanPSMT"/>
        </w:rPr>
      </w:pPr>
    </w:p>
    <w:p w14:paraId="33CA4E4B" w14:textId="77777777" w:rsidR="00940DD2" w:rsidRDefault="00940DD2"/>
    <w:tbl>
      <w:tblPr>
        <w:tblW w:w="0" w:type="auto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912"/>
        <w:gridCol w:w="2018"/>
        <w:gridCol w:w="1267"/>
        <w:gridCol w:w="1353"/>
        <w:gridCol w:w="1233"/>
      </w:tblGrid>
      <w:tr w:rsidR="00940DD2" w14:paraId="7B2B641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4891EA" w14:textId="77777777" w:rsidR="00940DD2" w:rsidRDefault="00242A5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940DD2" w:rsidRDefault="00242A5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62A82B80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83FA6F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940DD2" w14:paraId="51F3BA3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Urządzenie fabrycznie nowe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E0F3DB4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BEEDFE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BC28EF8" w14:textId="79FF5EC2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50B0D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39B2367" w14:textId="4280DEA4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  20</w:t>
            </w:r>
            <w:r w:rsidR="009414B7">
              <w:rPr>
                <w:rFonts w:cs="Tahoma"/>
                <w:color w:val="000000"/>
              </w:rPr>
              <w:t>20</w:t>
            </w:r>
            <w:r>
              <w:rPr>
                <w:rFonts w:cs="Tahoma"/>
                <w:color w:val="000000"/>
              </w:rPr>
              <w:t>/202</w:t>
            </w:r>
            <w:r w:rsidR="009414B7">
              <w:rPr>
                <w:rFonts w:cs="Tahoma"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A9FCA9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14EBBDB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C9C328" w14:textId="2A9AED33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306249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B9E1E98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8A746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940DD2" w14:paraId="5810F64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B097EB" w14:textId="77777777" w:rsidR="00940DD2" w:rsidRDefault="00242A5B">
            <w:pPr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6C0F59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399F52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645D959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12809E8" w14:textId="148A8EE7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3FB6F0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7777777" w:rsidR="00940DD2" w:rsidRDefault="00242A5B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CF171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01DE4C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5DD8DD0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964C56" w14:textId="2298F170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BBE905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6552C93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D5640D0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510158F5" w14:textId="60730E08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2F15B2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5FC1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F0F4F0" w14:textId="38EE3986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426FF78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 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3EE6C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B286C1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8C845C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53EC561" w14:textId="2621A3BF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9B1A8B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723615A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35AB3D4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940DD2" w14:paraId="2C85141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77777777" w:rsidR="00940DD2" w:rsidRDefault="00242A5B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50D789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8C9B081" w14:textId="73939699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4B77C56" w14:textId="77777777">
        <w:trPr>
          <w:trHeight w:val="68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77777777" w:rsidR="00940DD2" w:rsidRDefault="00242A5B">
            <w:pPr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CAF85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BA5554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 </w:t>
            </w:r>
          </w:p>
          <w:p w14:paraId="40C474E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0A35318" w14:textId="6CE91780" w:rsidR="00940DD2" w:rsidRDefault="00D72328">
            <w:pPr>
              <w:shd w:val="clear" w:color="auto" w:fill="FFFFFF"/>
              <w:rPr>
                <w:rFonts w:cs="Tahoma"/>
                <w:color w:val="000000"/>
              </w:rPr>
            </w:pPr>
            <w:bookmarkStart w:id="0" w:name="__DdeLink__872_638757017"/>
            <w:bookmarkEnd w:id="0"/>
            <w:r>
              <w:rPr>
                <w:rFonts w:cs="Tahoma"/>
                <w:color w:val="000000"/>
              </w:rPr>
              <w:t>Największa ilość -5 pkt, najmniejsza -0 pkt</w:t>
            </w:r>
          </w:p>
        </w:tc>
      </w:tr>
      <w:tr w:rsidR="00940DD2" w14:paraId="5DAA2D1C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77777777" w:rsidR="00940DD2" w:rsidRDefault="00242A5B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55C46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5BFB6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50C89EC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B7FCB2D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A24E7F" w14:textId="00055EFA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134BF91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77777777" w:rsidR="00940DD2" w:rsidRDefault="00242A5B">
            <w:pPr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10361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90D7A05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50EC944" w14:textId="212ED9B8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A005B6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77777777" w:rsidR="00940DD2" w:rsidRDefault="00242A5B">
            <w:pPr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8F1247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19D404C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5C74EA1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7A20739E" w14:textId="6AA479F9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9139E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77777777" w:rsidR="00940DD2" w:rsidRDefault="00242A5B">
            <w:pPr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052F85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7E066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B621A21" w14:textId="42E82D62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7B2A683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940DD2" w:rsidRDefault="00242A5B">
            <w:pPr>
              <w:spacing w:line="360" w:lineRule="auto"/>
            </w:pPr>
            <w:r>
              <w:lastRenderedPageBreak/>
              <w:t>14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6621A03" w14:textId="77777777" w:rsidR="00940DD2" w:rsidRDefault="00242A5B">
            <w:pPr>
              <w:shd w:val="clear" w:color="auto" w:fill="FFFFFF"/>
              <w:spacing w:line="360" w:lineRule="auto"/>
            </w:pPr>
            <w:r>
              <w:t xml:space="preserve">Możliwość sterowania wszystkimi  podstawowymi  funkcjami pompy  z poziomu </w:t>
            </w:r>
            <w:proofErr w:type="spellStart"/>
            <w:r>
              <w:t>glukometru</w:t>
            </w:r>
            <w:proofErr w:type="spellEnd"/>
            <w:r>
              <w:t xml:space="preserve"> -pilota :</w:t>
            </w:r>
          </w:p>
          <w:p w14:paraId="5C8CC632" w14:textId="77777777" w:rsidR="00940DD2" w:rsidRDefault="00242A5B">
            <w:pPr>
              <w:shd w:val="clear" w:color="auto" w:fill="FFFFFF"/>
              <w:spacing w:line="360" w:lineRule="auto"/>
            </w:pPr>
            <w:r>
              <w:t>bolus standardowy ,przedłużony ,złożony :</w:t>
            </w:r>
          </w:p>
          <w:p w14:paraId="1F9C5597" w14:textId="77777777" w:rsidR="00940DD2" w:rsidRDefault="00242A5B">
            <w:pPr>
              <w:shd w:val="clear" w:color="auto" w:fill="FFFFFF"/>
              <w:spacing w:line="360" w:lineRule="auto"/>
            </w:pPr>
            <w:r>
              <w:t>tymczasowa dawka podstawowa</w:t>
            </w:r>
          </w:p>
          <w:p w14:paraId="4B8C4B23" w14:textId="77777777" w:rsidR="00940DD2" w:rsidRDefault="00242A5B">
            <w:pPr>
              <w:shd w:val="clear" w:color="auto" w:fill="FFFFFF"/>
              <w:spacing w:line="360" w:lineRule="auto"/>
            </w:pPr>
            <w:r>
              <w:t xml:space="preserve">wybór </w:t>
            </w:r>
            <w:proofErr w:type="spellStart"/>
            <w:r>
              <w:t>dawkim</w:t>
            </w:r>
            <w:proofErr w:type="spellEnd"/>
            <w:r>
              <w:t xml:space="preserve"> podstawowej</w:t>
            </w:r>
          </w:p>
          <w:p w14:paraId="602B49EA" w14:textId="77777777" w:rsidR="00940DD2" w:rsidRDefault="00242A5B">
            <w:pPr>
              <w:shd w:val="clear" w:color="auto" w:fill="FFFFFF"/>
              <w:spacing w:line="360" w:lineRule="auto"/>
            </w:pPr>
            <w:r>
              <w:t xml:space="preserve">programowanie każdego profilu dawki </w:t>
            </w:r>
            <w:proofErr w:type="spellStart"/>
            <w:r>
              <w:t>podstawowej,ustawienie</w:t>
            </w:r>
            <w:proofErr w:type="spellEnd"/>
            <w:r>
              <w:t xml:space="preserve"> przypomnień ,</w:t>
            </w:r>
          </w:p>
          <w:p w14:paraId="77BF8BCB" w14:textId="77777777" w:rsidR="00940DD2" w:rsidRDefault="00242A5B">
            <w:pPr>
              <w:shd w:val="clear" w:color="auto" w:fill="FFFFFF"/>
              <w:spacing w:line="360" w:lineRule="auto"/>
            </w:pPr>
            <w:r>
              <w:t>ustawienie daty i godziny,</w:t>
            </w:r>
          </w:p>
          <w:p w14:paraId="0A62D945" w14:textId="77777777" w:rsidR="00940DD2" w:rsidRDefault="00242A5B">
            <w:pPr>
              <w:shd w:val="clear" w:color="auto" w:fill="FFFFFF"/>
              <w:spacing w:line="360" w:lineRule="auto"/>
            </w:pPr>
            <w:r>
              <w:t>ustawienia pompy</w:t>
            </w:r>
          </w:p>
          <w:p w14:paraId="0D35DC8C" w14:textId="77777777" w:rsidR="00940DD2" w:rsidRDefault="00242A5B">
            <w:pPr>
              <w:shd w:val="clear" w:color="auto" w:fill="FFFFFF"/>
              <w:spacing w:line="360" w:lineRule="auto"/>
            </w:pPr>
            <w:r>
              <w:t>zatrzymanie pompy</w:t>
            </w:r>
          </w:p>
          <w:p w14:paraId="665AAE57" w14:textId="77777777" w:rsidR="00940DD2" w:rsidRDefault="00940DD2">
            <w:pPr>
              <w:shd w:val="clear" w:color="auto" w:fill="FFFFFF"/>
              <w:spacing w:line="360" w:lineRule="auto"/>
            </w:pP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DF2462" w14:textId="77777777" w:rsidR="00940DD2" w:rsidRDefault="00242A5B">
            <w:pPr>
              <w:shd w:val="clear" w:color="auto" w:fill="FFFFFF"/>
            </w:pPr>
            <w:r>
              <w:t>wymagany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940DD2" w:rsidRDefault="00940DD2">
            <w:pPr>
              <w:shd w:val="clear" w:color="auto" w:fill="FFFFFF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3E58882" w14:textId="44D81E34" w:rsidR="00940DD2" w:rsidRDefault="00D72328">
            <w:pPr>
              <w:shd w:val="clear" w:color="auto" w:fill="FFFFFF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74FED27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940DD2" w:rsidRDefault="00242A5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77777777" w:rsidR="00940DD2" w:rsidRDefault="00242A5B">
            <w:pPr>
              <w:shd w:val="clear" w:color="auto" w:fill="FFFFFF"/>
            </w:pPr>
            <w:r>
              <w:t>Zmiana układu ekranu :możliwość  odwrócenia ekranu o 180 stopni – udogodnienie dla osób leworęcznych</w:t>
            </w: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0A8E7E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940DD2" w:rsidRDefault="00242A5B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9ACA4F" w14:textId="320B991E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EA92F7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049AA58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18ACC7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940DD2" w14:paraId="3B8F54FB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B8DB574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76EDD9" w14:textId="77777777" w:rsidR="00940DD2" w:rsidRDefault="00940DD2">
            <w:pPr>
              <w:spacing w:line="360" w:lineRule="auto"/>
              <w:jc w:val="center"/>
            </w:pPr>
          </w:p>
        </w:tc>
      </w:tr>
      <w:tr w:rsidR="00940DD2" w14:paraId="2349534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77777777" w:rsidR="00940DD2" w:rsidRDefault="00242A5B">
            <w:pPr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37E41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E5F088" w14:textId="01FDE0C7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9F6432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77777777" w:rsidR="00940DD2" w:rsidRDefault="00242A5B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EE4AF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6EC7FF8" w14:textId="03A4F3B6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9BAC80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7777777" w:rsidR="00940DD2" w:rsidRDefault="00242A5B">
            <w:pPr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CC5D2B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438FFD1" w14:textId="6A26302F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52FABC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77777777" w:rsidR="00940DD2" w:rsidRDefault="00242A5B">
            <w:pPr>
              <w:shd w:val="clear" w:color="auto" w:fill="FFFFFF"/>
              <w:spacing w:line="226" w:lineRule="exact"/>
              <w:ind w:right="470" w:hanging="5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B14334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0E53BB0" w14:textId="56136C35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FE8879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0DDA6CB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25487BE" w14:textId="77777777" w:rsidR="00940DD2" w:rsidRPr="00801C00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 w:rsidRPr="00801C00"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940DD2" w14:paraId="219251B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3D39D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1BED8DC" w14:textId="422B0273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0B1015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4FB39E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BF13CA8" w14:textId="0709BD6A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761A1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B48196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F904A0F" w14:textId="1BB43180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47DC02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B443CC7" w14:textId="77777777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3DC8B2B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913B7C4" w14:textId="6ADBB27F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71E6A4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 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(dodatkowe wymogi)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A618A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1240E0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EFA65C0" w14:textId="553B2341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pkt</w:t>
            </w:r>
          </w:p>
        </w:tc>
      </w:tr>
      <w:tr w:rsidR="00940DD2" w14:paraId="2E11C00C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6F3C1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64119B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6CC136B" w14:textId="58C45D49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CBEC04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A014D7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05EEE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1A9F20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FB5AFA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21A390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8CC717" w14:textId="003BB036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11C7A102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E2640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424B916" w14:textId="77777777" w:rsidR="00940DD2" w:rsidRDefault="00242A5B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posiłkowego będący integralnym elementem  systemu  do podawania insuliny-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FDD589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99C32E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585AB66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1403A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DDEC86" w14:textId="0CE3B04F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1A439B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78726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CA182F" w14:textId="77777777" w:rsidR="00940DD2" w:rsidRDefault="00242A5B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 xml:space="preserve">Kalkulator bolusa </w:t>
            </w:r>
            <w:proofErr w:type="spellStart"/>
            <w:r>
              <w:rPr>
                <w:rFonts w:cs="Tahoma"/>
                <w:color w:val="000000"/>
              </w:rPr>
              <w:t>korygującegobędący</w:t>
            </w:r>
            <w:proofErr w:type="spellEnd"/>
            <w:r>
              <w:rPr>
                <w:rFonts w:cs="Tahoma"/>
                <w:color w:val="000000"/>
              </w:rPr>
              <w:t xml:space="preserve"> integralnym elementem  systemu  do podawania insuliny-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0EAE7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47306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5194D0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AC6B9F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FA96C15" w14:textId="15EF6C05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D9C3BC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481F3D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E3529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E4F06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DE889E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CFFF409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7C3755" w14:textId="77777777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TAK-5 pkt</w:t>
            </w:r>
          </w:p>
          <w:p w14:paraId="2241B3D2" w14:textId="517F8D91" w:rsidR="00D72328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 – 0 pkt</w:t>
            </w:r>
          </w:p>
        </w:tc>
      </w:tr>
      <w:tr w:rsidR="00940DD2" w14:paraId="58F773B8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7777777" w:rsidR="00940DD2" w:rsidRDefault="00242A5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34F1D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76E9E2" w14:textId="2566D010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521728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1F33E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01731D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4E091F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4BE6A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8DB6FAD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5581AB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0684CD" w14:textId="7448CE3A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E00A5B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F339EE0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62DE8E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940DD2" w14:paraId="396816D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9E1EC7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3977A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B04D7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9965A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BDD050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164C62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77D3507" w14:textId="0F26BB7B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zestawów infuzyjnych -3 pkt, najmniejsza ilość -0 pkt</w:t>
            </w:r>
          </w:p>
        </w:tc>
      </w:tr>
      <w:tr w:rsidR="00940DD2" w14:paraId="5EEC41A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94068D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70368FB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DF53B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A9AF72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608A06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3FE9EC2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A1D3E4F" w14:textId="26BBDECE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Największa ilość </w:t>
            </w:r>
            <w:r>
              <w:rPr>
                <w:rFonts w:cs="Tahoma"/>
                <w:color w:val="000000"/>
              </w:rPr>
              <w:t xml:space="preserve">zbiorników na insulinę </w:t>
            </w:r>
            <w:r>
              <w:rPr>
                <w:rFonts w:cs="Tahoma"/>
                <w:color w:val="000000"/>
              </w:rPr>
              <w:t xml:space="preserve"> -3 pkt, najmniejsza ilość -0 pkt</w:t>
            </w:r>
          </w:p>
        </w:tc>
      </w:tr>
      <w:tr w:rsidR="00940DD2" w14:paraId="304C5B4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9E8AAB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53A790B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427A4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5ADDF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D0278E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2E59295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353558" w14:textId="5FF2BE58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Największa ilość </w:t>
            </w:r>
            <w:r>
              <w:rPr>
                <w:rFonts w:cs="Tahoma"/>
                <w:color w:val="000000"/>
              </w:rPr>
              <w:t xml:space="preserve">baterii zapasowych </w:t>
            </w:r>
            <w:r>
              <w:rPr>
                <w:rFonts w:cs="Tahoma"/>
                <w:color w:val="000000"/>
              </w:rPr>
              <w:t xml:space="preserve"> -3 pkt, najmniejsza ilość -0 pkt</w:t>
            </w:r>
          </w:p>
        </w:tc>
      </w:tr>
      <w:tr w:rsidR="00940DD2" w14:paraId="71E1A3D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571C6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35.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EA1C5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44E565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C529FB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C723F3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ABAF8A4" w14:textId="281C6DCC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7143D64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857371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4EA1C7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51EAD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bookmarkStart w:id="1" w:name="__DdeLink__855_724465126"/>
            <w:bookmarkEnd w:id="1"/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AB71D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3ABA8B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7A2F98" w14:textId="77777777" w:rsidR="00D72328" w:rsidRDefault="00D72328" w:rsidP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TAK-5 pkt</w:t>
            </w:r>
          </w:p>
          <w:p w14:paraId="211328E3" w14:textId="098093FE" w:rsidR="00940DD2" w:rsidRDefault="00D72328" w:rsidP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 – 0 pkt</w:t>
            </w:r>
          </w:p>
        </w:tc>
      </w:tr>
      <w:tr w:rsidR="00940DD2" w14:paraId="0B071C6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E84169E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C649DD1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940DD2" w14:paraId="345A71E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D9DEE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349404E" w14:textId="77777777" w:rsidR="00940DD2" w:rsidRDefault="00242A5B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Możliwość  stosowania zestawów infuzyjnych  z uniwersalną złączką </w:t>
            </w:r>
            <w:proofErr w:type="spellStart"/>
            <w:r>
              <w:rPr>
                <w:rFonts w:cs="Tahoma"/>
                <w:color w:val="000000"/>
              </w:rPr>
              <w:t>Luer</w:t>
            </w:r>
            <w:proofErr w:type="spellEnd"/>
            <w:r>
              <w:rPr>
                <w:rFonts w:cs="Tahoma"/>
                <w:color w:val="000000"/>
              </w:rPr>
              <w:t xml:space="preserve">  co pozwala na używania wkłuć innych producentów w pompach biorących udział w ofercie.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C34918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7BFD3C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52CE4DF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654F57B" w14:textId="2B23611C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B33254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D0C5C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040E7E5" w14:textId="77777777" w:rsidR="00940DD2" w:rsidRDefault="00242A5B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50D0C4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09D536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E94FB5F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47C2F65" w14:textId="07514604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16C92E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29409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D9F1AF3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14:paraId="4BD9A40F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 xml:space="preserve">- 10 zestawów infuzyjnych </w:t>
            </w:r>
          </w:p>
          <w:p w14:paraId="7777ADBC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a) metalowych </w:t>
            </w:r>
          </w:p>
          <w:p w14:paraId="455100C7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14:paraId="4F97B952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AD4F4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C69A5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F1B4BF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lastRenderedPageBreak/>
              <w:t>(podać koszt)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53D9565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6994804" w14:textId="495A788C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80CC55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D4C6C67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7E78603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940DD2" w14:paraId="7878AD8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7777777" w:rsidR="00940DD2" w:rsidRDefault="00242A5B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7E116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EF400A" w14:textId="2ECF7863" w:rsidR="00940DD2" w:rsidRDefault="00D72328" w:rsidP="00801C0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5E6A88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713790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B242D31" w14:textId="684A4C86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E08B00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A7E5A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F235D9" w14:textId="0566935D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DE2FBE7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D7062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CFAD5A6" w14:textId="4B3012BA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50206C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7E6820A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117B185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Warunki gwarancji</w:t>
            </w:r>
          </w:p>
        </w:tc>
      </w:tr>
      <w:tr w:rsidR="00940DD2" w14:paraId="37787C6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77777777" w:rsidR="00940DD2" w:rsidRDefault="00242A5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7ABE87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EC0561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29726E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BBBCBB3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1BD02A2" w14:textId="77777777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 m-cy-0 pkt</w:t>
            </w:r>
          </w:p>
          <w:p w14:paraId="2A3170A6" w14:textId="77777777" w:rsidR="00D72328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54 m-ce – 5 pkt</w:t>
            </w:r>
          </w:p>
          <w:p w14:paraId="3E32A1DD" w14:textId="42653ABE" w:rsidR="00D72328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-10 pkt</w:t>
            </w:r>
          </w:p>
        </w:tc>
      </w:tr>
    </w:tbl>
    <w:p w14:paraId="2448F1C1" w14:textId="77777777" w:rsidR="00940DD2" w:rsidRDefault="00940DD2">
      <w:pPr>
        <w:rPr>
          <w:rFonts w:cs="Arial"/>
          <w:b/>
          <w:color w:val="000000"/>
        </w:rPr>
      </w:pPr>
    </w:p>
    <w:p w14:paraId="1D6F4265" w14:textId="77777777" w:rsidR="00940DD2" w:rsidRDefault="00940DD2">
      <w:pPr>
        <w:rPr>
          <w:rFonts w:cs="Arial"/>
          <w:b/>
          <w:color w:val="000000"/>
        </w:rPr>
      </w:pPr>
    </w:p>
    <w:p w14:paraId="5052E8E5" w14:textId="77777777" w:rsidR="00940DD2" w:rsidRDefault="00242A5B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Wymogi dodatkowe  </w:t>
      </w:r>
    </w:p>
    <w:p w14:paraId="17BD689E" w14:textId="77777777" w:rsidR="00940DD2" w:rsidRDefault="00242A5B">
      <w:p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>1.Wymogi dotyczące programu komputerowego do sczytywania pamięci pompy:</w:t>
      </w:r>
    </w:p>
    <w:p w14:paraId="58633D8E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Stosowane przeliczniki w kalkulatorach bolusów, </w:t>
      </w:r>
    </w:p>
    <w:p w14:paraId="33E72E9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14:paraId="46F2800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Historia wypełnień drenu </w:t>
      </w:r>
    </w:p>
    <w:p w14:paraId="6025DF49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14:paraId="50C380F4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14:paraId="7736EDEC" w14:textId="77777777" w:rsidR="00940DD2" w:rsidRDefault="00242A5B">
      <w:pPr>
        <w:tabs>
          <w:tab w:val="left" w:pos="300"/>
          <w:tab w:val="left" w:pos="48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2. Wymagane informacje zawarte na stronie internetowej:</w:t>
      </w:r>
    </w:p>
    <w:p w14:paraId="11527C69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14:paraId="30875155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14:paraId="5247ED17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14:paraId="2C5F6293" w14:textId="77777777" w:rsidR="00940DD2" w:rsidRDefault="00940DD2">
      <w:pPr>
        <w:ind w:left="20" w:firstLine="20"/>
      </w:pPr>
    </w:p>
    <w:p w14:paraId="6255655C" w14:textId="77777777" w:rsidR="00940DD2" w:rsidRDefault="00940DD2">
      <w:pPr>
        <w:ind w:left="20" w:firstLine="20"/>
      </w:pPr>
    </w:p>
    <w:p w14:paraId="011E70F6" w14:textId="77777777" w:rsidR="00940DD2" w:rsidRDefault="00940DD2"/>
    <w:p w14:paraId="07E04E7C" w14:textId="77777777" w:rsidR="00940DD2" w:rsidRDefault="00940DD2"/>
    <w:sectPr w:rsidR="00940DD2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2"/>
    <w:rsid w:val="00242A5B"/>
    <w:rsid w:val="00801C00"/>
    <w:rsid w:val="00940DD2"/>
    <w:rsid w:val="009414B7"/>
    <w:rsid w:val="00B70971"/>
    <w:rsid w:val="00D72328"/>
    <w:rsid w:val="00DE3FD0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1085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3</cp:revision>
  <cp:lastPrinted>2020-03-09T09:53:00Z</cp:lastPrinted>
  <dcterms:created xsi:type="dcterms:W3CDTF">2021-03-17T12:12:00Z</dcterms:created>
  <dcterms:modified xsi:type="dcterms:W3CDTF">2021-03-19T09:26:00Z</dcterms:modified>
</cp:coreProperties>
</file>