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152E" w14:textId="77777777" w:rsidR="00C30D45" w:rsidRDefault="00C30D45">
      <w:pPr>
        <w:pStyle w:val="Textbody"/>
        <w:spacing w:after="0"/>
        <w:jc w:val="both"/>
        <w:rPr>
          <w:b/>
          <w:bCs/>
        </w:rPr>
      </w:pPr>
    </w:p>
    <w:p w14:paraId="62C974C5" w14:textId="77777777" w:rsidR="00E67446" w:rsidRDefault="00E67446" w:rsidP="00E67446">
      <w:pPr>
        <w:widowControl/>
        <w:spacing w:line="100" w:lineRule="atLeast"/>
        <w:jc w:val="right"/>
        <w:rPr>
          <w:rFonts w:eastAsia="Times New Roman" w:cs="Times New Roman"/>
          <w:b/>
          <w:bCs/>
          <w:color w:val="00000A"/>
          <w:kern w:val="0"/>
          <w:lang w:bidi="ar-SA"/>
        </w:rPr>
      </w:pPr>
      <w:r>
        <w:rPr>
          <w:rFonts w:eastAsia="Times New Roman" w:cs="Times New Roman"/>
          <w:b/>
          <w:bCs/>
          <w:color w:val="00000A"/>
          <w:kern w:val="0"/>
          <w:lang w:bidi="ar-SA"/>
        </w:rPr>
        <w:t>Załącznik nr 2b do SWZ</w:t>
      </w:r>
    </w:p>
    <w:p w14:paraId="6591837A" w14:textId="77777777" w:rsidR="00E67446" w:rsidRDefault="00E67446" w:rsidP="00E67446">
      <w:pPr>
        <w:pStyle w:val="Textbody"/>
        <w:spacing w:after="0"/>
        <w:jc w:val="both"/>
        <w:rPr>
          <w:b/>
          <w:bCs/>
        </w:rPr>
      </w:pPr>
    </w:p>
    <w:p w14:paraId="1A6DDE54" w14:textId="77777777" w:rsidR="00E67446" w:rsidRDefault="00E67446" w:rsidP="00E67446">
      <w:pPr>
        <w:pStyle w:val="Standard"/>
        <w:spacing w:line="100" w:lineRule="atLeast"/>
        <w:jc w:val="center"/>
        <w:rPr>
          <w:b/>
          <w:bCs/>
        </w:rPr>
      </w:pPr>
      <w:r>
        <w:rPr>
          <w:b/>
          <w:bCs/>
        </w:rPr>
        <w:t>ZESTAWIENIE PARAMETRÓW I WARUNKÓW TECHNICZNYCH</w:t>
      </w:r>
    </w:p>
    <w:p w14:paraId="03F6EB6D" w14:textId="77777777" w:rsidR="00E67446" w:rsidRDefault="00E67446" w:rsidP="00E67446">
      <w:pPr>
        <w:pStyle w:val="Standard"/>
        <w:spacing w:line="100" w:lineRule="atLeast"/>
        <w:jc w:val="center"/>
        <w:rPr>
          <w:b/>
          <w:bCs/>
        </w:rPr>
      </w:pPr>
    </w:p>
    <w:p w14:paraId="32B25CD6" w14:textId="77777777" w:rsidR="00E67446" w:rsidRDefault="00E67446" w:rsidP="00E67446">
      <w:pPr>
        <w:widowControl/>
        <w:spacing w:line="100" w:lineRule="atLeast"/>
        <w:jc w:val="center"/>
        <w:rPr>
          <w:rFonts w:eastAsia="Times New Roman" w:cs="Times New Roman"/>
          <w:b/>
          <w:bCs/>
          <w:color w:val="00000A"/>
          <w:kern w:val="0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single"/>
          <w:lang w:bidi="ar-SA"/>
        </w:rPr>
        <w:t>Pakiet nr 2</w:t>
      </w:r>
    </w:p>
    <w:p w14:paraId="7FA045F8" w14:textId="77777777" w:rsidR="00E67446" w:rsidRDefault="00E67446" w:rsidP="00E67446">
      <w:pPr>
        <w:pStyle w:val="Standard"/>
        <w:tabs>
          <w:tab w:val="left" w:pos="2124"/>
        </w:tabs>
        <w:spacing w:line="200" w:lineRule="atLeast"/>
        <w:jc w:val="center"/>
      </w:pPr>
      <w:r>
        <w:rPr>
          <w:b/>
          <w:bCs/>
        </w:rPr>
        <w:t>Pompy insulinowe dla dzieci  od 0 do 18 roku życia, dla dzieci z niedocukrzeniami  i/ lub nie sygnalizującymi objawów niedocukrzenia - pompy z regulacją dawki bazy 0,1j./godzinę w ilości 60 sztuk</w:t>
      </w:r>
    </w:p>
    <w:p w14:paraId="26EEC0A7" w14:textId="77777777" w:rsidR="00C30D45" w:rsidRDefault="00C30D45">
      <w:pPr>
        <w:pStyle w:val="Standard"/>
        <w:tabs>
          <w:tab w:val="left" w:pos="500"/>
        </w:tabs>
        <w:spacing w:line="200" w:lineRule="atLeast"/>
      </w:pPr>
    </w:p>
    <w:tbl>
      <w:tblPr>
        <w:tblW w:w="10089" w:type="dxa"/>
        <w:tblInd w:w="-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3684"/>
        <w:gridCol w:w="1661"/>
        <w:gridCol w:w="1374"/>
        <w:gridCol w:w="1418"/>
        <w:gridCol w:w="1361"/>
      </w:tblGrid>
      <w:tr w:rsidR="00C30D45" w14:paraId="5BB8AB9A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0618E73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L.p.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9A2AC11" w14:textId="77777777" w:rsidR="00C30D45" w:rsidRDefault="00D375CF" w:rsidP="00766266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AFDD4B" w14:textId="77777777" w:rsidR="00C30D45" w:rsidRDefault="00D375CF" w:rsidP="00766266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5C96D46" w14:textId="77777777" w:rsidR="00C30D45" w:rsidRDefault="00D375CF" w:rsidP="00766266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14:paraId="2B71E6E7" w14:textId="77777777" w:rsidR="00C30D45" w:rsidRDefault="00D375CF" w:rsidP="00766266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Tak/ 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B408E7" w14:textId="77777777" w:rsidR="00C30D45" w:rsidRDefault="00D375CF" w:rsidP="00766266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C66FB7" w14:textId="77777777" w:rsidR="00C30D45" w:rsidRDefault="00D375CF" w:rsidP="00766266">
            <w:pPr>
              <w:pStyle w:val="Standard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Zakres punktacji</w:t>
            </w:r>
          </w:p>
        </w:tc>
      </w:tr>
      <w:tr w:rsidR="00C30D45" w14:paraId="2D55E05F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9C10E8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416594" w14:textId="77777777" w:rsidR="00C30D45" w:rsidRDefault="00D375CF" w:rsidP="00766266">
            <w:pPr>
              <w:pStyle w:val="Standard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Urządzenie fabrycznie nowe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E2BBAE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C46BEAE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0DE317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CDC6F0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4AB98C3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28D67AA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5CEC5B8" w14:textId="77777777" w:rsidR="00C30D45" w:rsidRDefault="00D375CF" w:rsidP="00766266">
            <w:pPr>
              <w:pStyle w:val="Standard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Rok produkcji: 2020/2021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83D8F8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527739E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8B3FDA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1D64AB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6A8C0170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61043DC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0832A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Parametry techniczne</w:t>
            </w:r>
          </w:p>
        </w:tc>
      </w:tr>
      <w:tr w:rsidR="00C30D45" w14:paraId="7A4472A4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201E8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340BA2D" w14:textId="77777777" w:rsidR="00C30D45" w:rsidRDefault="00D375CF" w:rsidP="00766266">
            <w:pPr>
              <w:pStyle w:val="Standard"/>
              <w:jc w:val="both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Masa pompy z baterią i pojemnikiem na insulinę  [g]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33179C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41D652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46BF87AD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C4DC41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426C5F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BD3D5B2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EF00A1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F7EE7E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850E9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E8EC21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5B93F33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typ baterii)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EBA8D1F" w14:textId="77777777" w:rsidR="00C30D45" w:rsidRDefault="00C30D45" w:rsidP="00766266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C4D95F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2410B04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B9F2B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A23E23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Klasa ochrony przed wilgocią i zalaniem min. IPX 7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3699C3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B58788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71D675E" w14:textId="77777777" w:rsidR="00C30D45" w:rsidRDefault="00C30D45" w:rsidP="00766266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E133765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F4DBFA6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504C74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91DA3B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Pełny interfejs użytkownika w j. polskim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16DC5FB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50D8A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794F197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804E839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7830F30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4BE478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CBDCFD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Zakres temperatury pracy, minimalny zakres +5  do + 40</w:t>
            </w:r>
          </w:p>
          <w:p w14:paraId="11E9BDEA" w14:textId="77777777" w:rsidR="00C30D45" w:rsidRDefault="00D375CF" w:rsidP="00766266">
            <w:pPr>
              <w:pStyle w:val="Standard"/>
              <w:shd w:val="clear" w:color="auto" w:fill="FFFFFF"/>
            </w:pPr>
            <w:r>
              <w:rPr>
                <w:rFonts w:cs="Tahoma"/>
                <w:color w:val="000000"/>
              </w:rPr>
              <w:t xml:space="preserve"> [</w:t>
            </w:r>
            <w:r>
              <w:rPr>
                <w:rFonts w:cs="Tahoma"/>
                <w:color w:val="000000"/>
                <w:vertAlign w:val="superscript"/>
              </w:rPr>
              <w:t xml:space="preserve">o </w:t>
            </w:r>
            <w:r>
              <w:rPr>
                <w:rFonts w:cs="Tahoma"/>
                <w:color w:val="000000"/>
              </w:rPr>
              <w:t>C]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2771FB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74C77F6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0BA2E0AD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zakres)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920B31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7C40F13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80E3D30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9EA999F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146C43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min.48 m-cy od daty podpisania ostatecznego protokołu dostawy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8A17C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BF64D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78D733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88ACCC9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DEF949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9234284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54E21D9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75394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C30D45" w14:paraId="3F1600A4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BBA72F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0978C2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dawki bazy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06A9DA4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2E7D76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8FEC77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6F477A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46D64259" w14:textId="77777777" w:rsidTr="00766266">
        <w:trPr>
          <w:trHeight w:val="68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236DF1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3D92A3" w14:textId="77777777" w:rsidR="00C30D45" w:rsidRDefault="00D375CF" w:rsidP="00766266">
            <w:pPr>
              <w:pStyle w:val="Standard"/>
              <w:shd w:val="clear" w:color="auto" w:fill="FFFFFF"/>
              <w:ind w:right="414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programowalnych baz, minimum 3 rodzaje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2F5A1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A1281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 xml:space="preserve"> TAK</w:t>
            </w:r>
          </w:p>
          <w:p w14:paraId="018C93B7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0B8948" w14:textId="77777777" w:rsidR="00C30D45" w:rsidRDefault="00C30D45" w:rsidP="00766266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9E52AC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– 5 pkt,  najmniejsza ilość  - 0 pkt.</w:t>
            </w:r>
          </w:p>
        </w:tc>
      </w:tr>
      <w:tr w:rsidR="00C30D45" w14:paraId="6066258F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4BC38D2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DCA269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413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4F72F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FAE30B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1FE5115D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 dokładność)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1D7D3A2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DEC631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5EABECA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BBBE08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2762601" w14:textId="77777777" w:rsidR="00C30D45" w:rsidRDefault="00D375CF" w:rsidP="00766266">
            <w:pPr>
              <w:pStyle w:val="Standard"/>
              <w:shd w:val="clear" w:color="auto" w:fill="FFFFFF"/>
              <w:spacing w:line="230" w:lineRule="exact"/>
              <w:ind w:right="96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Programowanie wielkości bolusa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9CB9D2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C9195B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82A5572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B1CAB77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01CBF31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A5F499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EA54151" w14:textId="77777777" w:rsidR="00C30D45" w:rsidRDefault="00D375CF" w:rsidP="00766266">
            <w:pPr>
              <w:pStyle w:val="Standard"/>
              <w:shd w:val="clear" w:color="auto" w:fill="FFFFFF"/>
              <w:ind w:right="96" w:firstLine="6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Różne rodzaje bolusa, minimum 3 rodzaje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4C76896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042A1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TAK</w:t>
            </w:r>
          </w:p>
          <w:p w14:paraId="37D0A2D5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6"/>
              </w:rPr>
            </w:pPr>
            <w:r>
              <w:rPr>
                <w:rFonts w:cs="Tahoma"/>
                <w:color w:val="000000"/>
                <w:spacing w:val="-6"/>
              </w:rPr>
              <w:t>(podać, parametr oceniany)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A03885D" w14:textId="77777777" w:rsidR="00C30D45" w:rsidRDefault="00C30D45" w:rsidP="00766266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4934076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37F3DBC5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9DF89D9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B83BDF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370" w:firstLine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DDC563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EA25A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00B45F54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dokładność)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B9C833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420639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14:paraId="1BF598CE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</w:tr>
      <w:tr w:rsidR="00C30D45" w14:paraId="6463AE68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142F29B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61D63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Alarmy</w:t>
            </w:r>
          </w:p>
        </w:tc>
      </w:tr>
      <w:tr w:rsidR="00C30D45" w14:paraId="35E73815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26AEFC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A13E644" w14:textId="77777777" w:rsidR="00C30D45" w:rsidRDefault="00D375CF" w:rsidP="00766266">
            <w:pPr>
              <w:pStyle w:val="Standard"/>
              <w:shd w:val="clear" w:color="auto" w:fill="FFFFFF"/>
              <w:spacing w:line="230" w:lineRule="exact"/>
              <w:ind w:right="72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dźwiękowy (tonowy)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75AE0D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A2D90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6DA7A3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C4B883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6CD398BE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5F43D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BA4A27" w14:textId="77777777" w:rsidR="00C30D45" w:rsidRDefault="00D375CF" w:rsidP="00766266">
            <w:pPr>
              <w:pStyle w:val="Standard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Alarm wibracyjny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BB72B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2DB2D3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2320D4A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34920C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4FAF9E74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97AEAF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2151437" w14:textId="77777777" w:rsidR="00C30D45" w:rsidRDefault="00D375CF" w:rsidP="00766266">
            <w:pPr>
              <w:pStyle w:val="Standard"/>
              <w:shd w:val="clear" w:color="auto" w:fill="FFFFFF"/>
              <w:spacing w:line="235" w:lineRule="exact"/>
              <w:ind w:right="590" w:hanging="5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Rodzaje alarmów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B55500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8AC4B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5"/>
              </w:rPr>
            </w:pPr>
            <w:r>
              <w:rPr>
                <w:rFonts w:cs="Tahoma"/>
                <w:color w:val="000000"/>
                <w:spacing w:val="-5"/>
              </w:rPr>
              <w:t>TAK (podać parametr oceniany)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AA0AC8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6C7420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E281D33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5EB623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7E2912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470" w:hanging="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Informacja dźwiękowa </w:t>
            </w:r>
            <w:r>
              <w:rPr>
                <w:rFonts w:cs="Arial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FA4E89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A3C40D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A4D7F4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DFD6C14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B209B35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F4F084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BBBA43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17" w:hanging="6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AE59306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464297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6758CF9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ADF870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E34637B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CEF14C7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FCC593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3"/>
              </w:rPr>
            </w:pPr>
            <w:r>
              <w:rPr>
                <w:rFonts w:cs="Tahoma"/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C30D45" w14:paraId="0D6E9CA5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D93FA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6C8918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wypełnienie drenu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DD42ED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16C9A0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41C3D6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02B1E0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2D5AF38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7C173E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94934C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Nieograniczona ilość wypełnień drenów w ciągu doby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4E3820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013CC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86B65A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0E7CC8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5431315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AAFB169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360095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Blokada przed przypadkową zmianą parametrów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C11C49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E66F349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E901E66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EAF19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41E6964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3FF5AF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5C0E102" w14:textId="77777777" w:rsidR="00C30D45" w:rsidRDefault="00D375CF" w:rsidP="00766266">
            <w:pPr>
              <w:pStyle w:val="Standard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Możliwość anulowania podaży bolusa jednym przyciskiem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8510E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E6151C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C48692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6B801B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EE0767F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DBE1C82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5898BF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>
              <w:rPr>
                <w:rFonts w:cs="Tahoma"/>
                <w:color w:val="000000"/>
              </w:rPr>
              <w:br/>
              <w:t>(wymogi dodatkowe)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EE891F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3525AD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0F30902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AD5D2E" w14:textId="77777777" w:rsidR="00C30D45" w:rsidRDefault="00C30D45" w:rsidP="00766266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DC842D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  <w:p w14:paraId="4DC7A3B7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 pkt</w:t>
            </w:r>
          </w:p>
        </w:tc>
      </w:tr>
      <w:tr w:rsidR="00C30D45" w14:paraId="748AB56A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2EF03C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7C2D849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Pamięć minimum 1000 zdarzeń (bolusy, alarmy)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8F01B9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6077F5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75E6B9A2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(podać ilość)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6C6E91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DA8E1C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5D3A1AF3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85E9D6B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0C9D9BB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Przegląd raportów, z minimum ostatnich 90 dni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B295D4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2AB703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BBD57E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FA0FB9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200D2391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28C7F4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8B8FCA" w14:textId="77777777" w:rsidR="00C30D45" w:rsidRDefault="00D375CF" w:rsidP="00766266">
            <w:pPr>
              <w:pStyle w:val="Standard"/>
              <w:shd w:val="clear" w:color="auto" w:fill="FFFFFF"/>
            </w:pPr>
            <w:r>
              <w:rPr>
                <w:rFonts w:cs="Tahoma"/>
                <w:color w:val="000000"/>
              </w:rPr>
              <w:t>Kalkulator bolusa posiłkowego wewnętrzny lub zewnętrzny</w:t>
            </w:r>
            <w:r>
              <w:rPr>
                <w:rFonts w:cs="Arial"/>
                <w:color w:val="000000"/>
              </w:rPr>
              <w:t xml:space="preserve"> z </w:t>
            </w:r>
            <w:r>
              <w:rPr>
                <w:rFonts w:cs="Arial"/>
                <w:color w:val="000000"/>
              </w:rPr>
              <w:lastRenderedPageBreak/>
              <w:t>możliwością ustawienia w kilku przedziałach czasowych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182269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ECCA72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581F4903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340CA83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7A5D5F0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7F2E3D9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1A412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432A7A" w14:textId="77777777" w:rsidR="00C30D45" w:rsidRDefault="00D375CF" w:rsidP="00766266">
            <w:pPr>
              <w:pStyle w:val="Standard"/>
              <w:shd w:val="clear" w:color="auto" w:fill="FFFFFF"/>
            </w:pPr>
            <w:r>
              <w:rPr>
                <w:rFonts w:cs="Tahoma"/>
                <w:color w:val="000000"/>
              </w:rPr>
              <w:t>Kalkulator bolusa korygującego wewnętrzny lub zewnętrzny</w:t>
            </w:r>
            <w:r>
              <w:rPr>
                <w:rFonts w:cs="Arial"/>
                <w:color w:val="000000"/>
              </w:rPr>
              <w:t xml:space="preserve"> z możliwością ustawienia w kilku przedziałach czasowych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8C1369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589933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6CF9F88A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C0BD1E" w14:textId="77777777" w:rsidR="00C30D45" w:rsidRDefault="00C30D45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2412D3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4F98FE31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1BC25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FB5A86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8CC9521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81F3A5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6CE6EC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E3A762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C30D45" w14:paraId="31DB4D5A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5C825B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01ADC1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Czasowa zmiana bazy minimum do 24 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73B701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407EC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4D455B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06A8775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5F17D2B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3331D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80CBFA7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Minimalny okres czasowej zmiany bazy ≤30 min.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C2157B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62FC0FB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10B366D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633B3E2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88DF76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7B5B7D9D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5BC984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84EA032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Ciągłe monitorowanie glikemii zintegrowane z pompą insulinową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6496CC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F9FB08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D204389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9CBD29C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6B0F1751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FEEF328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F340F1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C30D45" w14:paraId="31F64928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FE805A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8ED557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Zestawy infuzyjne (dostarczane przy dostawie) min 4 szt.,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49B1983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2E8530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CB87108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AD51DA4" w14:textId="77777777" w:rsidR="00C30D45" w:rsidRDefault="00C30D45" w:rsidP="00766266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CDEFF56" w14:textId="77777777" w:rsidR="00C30D45" w:rsidRDefault="00D375CF" w:rsidP="00766266">
            <w:pPr>
              <w:pStyle w:val="Standard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zestawów infuzyjnych – 3 pkt, najmniejsza ilość – 0 pkt</w:t>
            </w:r>
          </w:p>
        </w:tc>
      </w:tr>
      <w:tr w:rsidR="00C30D45" w14:paraId="0E513B80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613EE0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DB5EBD2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Zbiorniki na insulinę (dostarczane przy dostawie) min 4 szt.,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24A5F8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FFC3EF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60C5B14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30ECB08" w14:textId="77777777" w:rsidR="00C30D45" w:rsidRDefault="00C30D45" w:rsidP="00766266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98FD7A9" w14:textId="77777777" w:rsidR="00C30D45" w:rsidRDefault="00D375CF" w:rsidP="00766266">
            <w:pPr>
              <w:pStyle w:val="Standard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zbiorników na insulinę – 3 pkt, najmniejsza ilość – 0 pkt</w:t>
            </w:r>
          </w:p>
        </w:tc>
      </w:tr>
      <w:tr w:rsidR="00C30D45" w14:paraId="4488E744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644D74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FC3E91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Baterie zapasowe (dostarczane przy dostawie) min. 4 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F9424D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71671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108D3633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(parametr oceniany)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4650FA2" w14:textId="77777777" w:rsidR="00C30D45" w:rsidRDefault="00C30D45" w:rsidP="00766266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41569CF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Największa ilość baterii zapasowych – 3 pkt, najmniejsza ilość – 0 pkt</w:t>
            </w:r>
          </w:p>
        </w:tc>
      </w:tr>
      <w:tr w:rsidR="00C30D45" w14:paraId="48E935C1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1CF6F7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3B44B7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Etui ochronne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C7D1F0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9CD932B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93AE31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8E51EA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BD40CA9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C00C59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A68701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95EE94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0EE8CF8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A2BA78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D86629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 – 5 pkt, NIE – 0 pkt.</w:t>
            </w:r>
          </w:p>
        </w:tc>
      </w:tr>
      <w:tr w:rsidR="00C30D45" w14:paraId="279F0290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38FCBA9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E84CC50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5"/>
              </w:rPr>
            </w:pPr>
            <w:r>
              <w:rPr>
                <w:rFonts w:cs="Tahoma"/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C30D45" w14:paraId="451B0B86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321E90" w14:textId="169241D2" w:rsidR="00C30D45" w:rsidRDefault="004E521B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</w:t>
            </w:r>
            <w:r w:rsidR="00D375CF"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CB4266" w14:textId="77777777" w:rsidR="00C30D45" w:rsidRDefault="00D375CF" w:rsidP="00766266">
            <w:pPr>
              <w:pStyle w:val="Standard"/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Możliwość używania wkłuć innych </w:t>
            </w:r>
            <w:r>
              <w:rPr>
                <w:rFonts w:cs="Tahoma"/>
                <w:color w:val="000000"/>
              </w:rPr>
              <w:lastRenderedPageBreak/>
              <w:t>producentów w pompach biorących udział w ofercie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BEEC7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dodatkowy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E836268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163184F" w14:textId="77777777" w:rsidR="00C30D45" w:rsidRDefault="00C30D45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1A85115" w14:textId="77777777" w:rsidR="00C30D45" w:rsidRDefault="00C30D45" w:rsidP="00766266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3B9048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Bez </w:t>
            </w:r>
            <w:r>
              <w:rPr>
                <w:rFonts w:cs="Tahoma"/>
                <w:color w:val="000000"/>
              </w:rPr>
              <w:lastRenderedPageBreak/>
              <w:t>punktacji</w:t>
            </w:r>
          </w:p>
        </w:tc>
      </w:tr>
      <w:tr w:rsidR="00C30D45" w14:paraId="3E2BFC2E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995E6B3" w14:textId="390289E6" w:rsidR="00C30D45" w:rsidRDefault="004E521B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39</w:t>
            </w:r>
            <w:r w:rsidR="00D375CF"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C044C2" w14:textId="77777777" w:rsidR="00C30D45" w:rsidRDefault="00D375CF" w:rsidP="00766266">
            <w:pPr>
              <w:pStyle w:val="Standard"/>
              <w:shd w:val="clear" w:color="auto" w:fill="FFFFFF"/>
              <w:ind w:right="86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91A9740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2944B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63F2CB5" w14:textId="77777777" w:rsidR="00C30D45" w:rsidRDefault="00C30D45" w:rsidP="00766266">
            <w:pPr>
              <w:pStyle w:val="Standard"/>
              <w:spacing w:line="36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A2BCA6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E20269B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763C50" w14:textId="5A9D308D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0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AF4AD78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Koszt zakupu osprzętu:</w:t>
            </w:r>
          </w:p>
          <w:p w14:paraId="07AF975C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- 10 zestawów infuzyjnych</w:t>
            </w:r>
          </w:p>
          <w:p w14:paraId="764E51D3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a) metalowych</w:t>
            </w:r>
          </w:p>
          <w:p w14:paraId="35A60EB4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b) tworzyw sztucznych</w:t>
            </w:r>
          </w:p>
          <w:p w14:paraId="3E8EDD64" w14:textId="77777777" w:rsidR="00C30D45" w:rsidRDefault="00D375CF" w:rsidP="00766266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strzykawek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D0228B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dodatkowy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C9E07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  <w:p w14:paraId="2BB561B8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  <w:spacing w:val="-1"/>
              </w:rPr>
            </w:pPr>
            <w:r>
              <w:rPr>
                <w:rFonts w:cs="Tahoma"/>
                <w:color w:val="000000"/>
                <w:spacing w:val="-1"/>
              </w:rPr>
              <w:t>(podać koszt)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8728890" w14:textId="77777777" w:rsidR="00C30D45" w:rsidRDefault="00C30D45" w:rsidP="00766266">
            <w:pPr>
              <w:pStyle w:val="Standard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EDE969" w14:textId="77777777" w:rsidR="00C30D45" w:rsidRDefault="00D375CF" w:rsidP="00766266">
            <w:pPr>
              <w:pStyle w:val="Standard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7820B60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275CA65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E2667A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  <w:spacing w:val="-6"/>
              </w:rPr>
            </w:pPr>
            <w:r>
              <w:rPr>
                <w:rFonts w:cs="Tahoma"/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C30D45" w14:paraId="303A0345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FB0611" w14:textId="064CF66A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32489C1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  <w:spacing w:val="-2"/>
              </w:rPr>
            </w:pPr>
            <w:r>
              <w:rPr>
                <w:rFonts w:cs="Tahoma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C560D7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E210CFE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FC53E6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2B8069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  <w:p w14:paraId="52EA1E86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  <w:p w14:paraId="7AA1E779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</w:tr>
      <w:tr w:rsidR="00C30D45" w14:paraId="25427F13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9C40B6" w14:textId="02BD8534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16B6D5E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Ośrodek udostępni bezpłatnie pomieszczenie do przeprowadzenia szkolenia z obsługi technicznej pompy insulinowej. Szkolenie przeprowadzone będzie przez członka zespołu diabetologicznego (Certyfikowanego trenera pompowego).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4F9487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01CFAB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18897AF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2FCFC4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1E4C3007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311D2D3" w14:textId="487BA39E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3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D190BD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Wykonawca posiada stronę internetową przedstawiającą formę kontaktu z firmą oraz dane dotyczące pompy i dostępnego osprzętu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AA8352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7CB767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94E9B9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D728F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C30D45" w14:paraId="0B8B8DFB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DB4645" w14:textId="3030E2F2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4E521B">
              <w:rPr>
                <w:rFonts w:cs="Tahoma"/>
                <w:color w:val="000000"/>
              </w:rPr>
              <w:t>4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23BB14" w14:textId="77777777" w:rsidR="00C30D45" w:rsidRDefault="00D375CF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CCCB67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2A3FFCA" w14:textId="77777777" w:rsidR="00C30D45" w:rsidRDefault="00D375CF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898CC42" w14:textId="77777777" w:rsidR="00C30D45" w:rsidRDefault="00C30D4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E1050D" w14:textId="77777777" w:rsidR="00C30D45" w:rsidRDefault="00D375CF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DB4C35" w14:paraId="09CBE84E" w14:textId="77777777" w:rsidTr="00EC5683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2F73B2" w14:textId="77777777" w:rsidR="00DB4C35" w:rsidRDefault="00DB4C35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9784BD" w14:textId="44485DA8" w:rsidR="00DB4C35" w:rsidRPr="00DB4C35" w:rsidRDefault="00DB4C35" w:rsidP="00766266">
            <w:pPr>
              <w:pStyle w:val="Standard"/>
              <w:spacing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B4C35">
              <w:rPr>
                <w:rFonts w:cs="Tahoma"/>
                <w:b/>
                <w:bCs/>
                <w:color w:val="000000"/>
              </w:rPr>
              <w:t>Gwarancja</w:t>
            </w:r>
          </w:p>
        </w:tc>
      </w:tr>
      <w:tr w:rsidR="00766266" w14:paraId="571B8C2B" w14:textId="77777777" w:rsidTr="00766266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6B3C58" w14:textId="70E6267E" w:rsidR="00766266" w:rsidRDefault="00766266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9F6E098" w14:textId="3539BBD9" w:rsidR="00766266" w:rsidRDefault="00766266" w:rsidP="00766266">
            <w:pPr>
              <w:pStyle w:val="Standard"/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Gwarancja min. 48 miesięcy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132540" w14:textId="012F6700" w:rsidR="00766266" w:rsidRDefault="00766266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wymagany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88CFA8" w14:textId="06D19782" w:rsidR="00766266" w:rsidRDefault="00766266" w:rsidP="00766266">
            <w:pPr>
              <w:pStyle w:val="Standard"/>
              <w:shd w:val="clear" w:color="auto" w:fill="FFFFFF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Tak, podać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933DD8" w14:textId="77777777" w:rsidR="00766266" w:rsidRDefault="00766266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B84AD5" w14:textId="7332C90F" w:rsidR="00766266" w:rsidRDefault="00766266" w:rsidP="00766266">
            <w:pPr>
              <w:pStyle w:val="Standard"/>
              <w:spacing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Bez punktacji</w:t>
            </w:r>
          </w:p>
        </w:tc>
      </w:tr>
      <w:tr w:rsidR="00766266" w14:paraId="4F4EAE24" w14:textId="77777777" w:rsidTr="0076626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089" w:type="dxa"/>
            <w:gridSpan w:val="6"/>
          </w:tcPr>
          <w:p w14:paraId="70E2FE9D" w14:textId="3345F5B6" w:rsidR="00766266" w:rsidRDefault="0022420C" w:rsidP="00766266">
            <w:pPr>
              <w:pStyle w:val="Standard"/>
              <w:tabs>
                <w:tab w:val="left" w:pos="77"/>
              </w:tabs>
              <w:jc w:val="both"/>
            </w:pPr>
            <w:r>
              <w:t xml:space="preserve"> </w:t>
            </w:r>
          </w:p>
        </w:tc>
      </w:tr>
    </w:tbl>
    <w:p w14:paraId="03D289E3" w14:textId="77777777" w:rsidR="00C30D45" w:rsidRDefault="00C30D45">
      <w:pPr>
        <w:pStyle w:val="Standard"/>
        <w:tabs>
          <w:tab w:val="left" w:pos="77"/>
        </w:tabs>
        <w:jc w:val="both"/>
      </w:pPr>
    </w:p>
    <w:p w14:paraId="3F0089AE" w14:textId="77777777" w:rsidR="00C30D45" w:rsidRDefault="00C30D45">
      <w:pPr>
        <w:pStyle w:val="Standard"/>
        <w:tabs>
          <w:tab w:val="left" w:pos="77"/>
        </w:tabs>
        <w:jc w:val="both"/>
      </w:pPr>
    </w:p>
    <w:p w14:paraId="12AEA53E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5105E482" w14:textId="77777777" w:rsidR="00C30D45" w:rsidRDefault="00C30D45">
      <w:pPr>
        <w:pStyle w:val="Standard"/>
        <w:rPr>
          <w:rFonts w:cs="Arial"/>
          <w:b/>
          <w:color w:val="000000"/>
        </w:rPr>
      </w:pPr>
    </w:p>
    <w:p w14:paraId="28A067BB" w14:textId="2A399FA7" w:rsidR="00C30D45" w:rsidRDefault="00D375CF">
      <w:pPr>
        <w:pStyle w:val="Standard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Wymogi dodatkowe</w:t>
      </w:r>
    </w:p>
    <w:p w14:paraId="2CB8351F" w14:textId="77777777" w:rsidR="00C30D45" w:rsidRDefault="00D375CF">
      <w:pPr>
        <w:pStyle w:val="Standard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Wymogi dotyczące programu komputerowego do sczytywania pamięci pompy:</w:t>
      </w:r>
    </w:p>
    <w:p w14:paraId="31DAA4FA" w14:textId="77777777" w:rsidR="00C30D45" w:rsidRDefault="00D375CF">
      <w:pPr>
        <w:pStyle w:val="Standard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Aktualne bazy (wszystkie możliwe z jednego sczytania pompy, na wykresach lub  w tabelach dokładna dawka – z dokładnością podawania bazy przez pompę)</w:t>
      </w:r>
    </w:p>
    <w:p w14:paraId="2BF7E5EF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Stosowane przeliczniki w kalkulatorach bolusów,</w:t>
      </w:r>
    </w:p>
    <w:p w14:paraId="603CD6DE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bolusów (dokładnie podany rodzaj bolusa, dawka, czas podania bolusa przedłużonego)</w:t>
      </w:r>
    </w:p>
    <w:p w14:paraId="190BE2B6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wypełnień drenu</w:t>
      </w:r>
    </w:p>
    <w:p w14:paraId="78050E58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Wykresy dzienne, na których muszą być przedstawione: </w:t>
      </w:r>
      <w:r>
        <w:rPr>
          <w:rFonts w:cs="Arial"/>
          <w:color w:val="000000"/>
        </w:rPr>
        <w:br/>
        <w:t xml:space="preserve">stosowana w tym dniu baza podstawowa, </w:t>
      </w:r>
      <w:r>
        <w:rPr>
          <w:rFonts w:cs="Arial"/>
          <w:color w:val="000000"/>
        </w:rPr>
        <w:br/>
        <w:t>czasowa zmiana bazy -wskazane oznaczenie innym kolorem,</w:t>
      </w:r>
      <w:r>
        <w:rPr>
          <w:rFonts w:cs="Arial"/>
          <w:color w:val="000000"/>
        </w:rPr>
        <w:br/>
        <w:t xml:space="preserve">zaznaczenie momentu zatrzymania i włączenia pompy </w:t>
      </w:r>
      <w:r>
        <w:rPr>
          <w:rFonts w:cs="Arial"/>
          <w:color w:val="000000"/>
        </w:rPr>
        <w:br/>
        <w:t xml:space="preserve">zaznaczenie momentu wypełnień drenu, </w:t>
      </w:r>
      <w:r>
        <w:rPr>
          <w:rFonts w:cs="Arial"/>
          <w:color w:val="000000"/>
        </w:rPr>
        <w:br/>
        <w:t>wszystkie podane bolusy z rozróżnieniem rodzaju i oznaczeniem czasu podania bolusa przedłużonego– wskazane zaznaczenie bolusów innymi kolorami,</w:t>
      </w:r>
    </w:p>
    <w:p w14:paraId="750448F1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Historia alarmów</w:t>
      </w:r>
    </w:p>
    <w:p w14:paraId="406F32DF" w14:textId="77777777" w:rsidR="00C30D45" w:rsidRDefault="00D375CF">
      <w:pPr>
        <w:pStyle w:val="Standard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Udostępnienie programu pacjentom</w:t>
      </w:r>
    </w:p>
    <w:p w14:paraId="04FF6F74" w14:textId="77777777" w:rsidR="00C30D45" w:rsidRDefault="00D375CF">
      <w:pPr>
        <w:pStyle w:val="Standard"/>
        <w:tabs>
          <w:tab w:val="left" w:pos="360"/>
          <w:tab w:val="left" w:pos="540"/>
        </w:tabs>
        <w:ind w:left="60"/>
        <w:rPr>
          <w:rFonts w:cs="Arial"/>
          <w:color w:val="000000"/>
        </w:rPr>
      </w:pPr>
      <w:r>
        <w:rPr>
          <w:rFonts w:cs="Arial"/>
          <w:color w:val="000000"/>
        </w:rPr>
        <w:t>2. Wymagane informacje zawarte na stronie internetowej:</w:t>
      </w:r>
    </w:p>
    <w:p w14:paraId="566371D5" w14:textId="77777777" w:rsidR="00C30D45" w:rsidRDefault="00D375CF">
      <w:pPr>
        <w:pStyle w:val="Standard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Numer infolinii, pod którym osoby korzystające z pomp otrzymają całodobową informacje dotyczącą problemów technicznych związanych z korzystaniem z pompy insulinowej</w:t>
      </w:r>
    </w:p>
    <w:p w14:paraId="4012D72A" w14:textId="77777777" w:rsidR="00C30D45" w:rsidRDefault="00D375CF">
      <w:pPr>
        <w:pStyle w:val="Standard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Telefony lokalnych przedstawicieli firm z godzinami ich pracy</w:t>
      </w:r>
    </w:p>
    <w:p w14:paraId="2DD5377B" w14:textId="77777777" w:rsidR="00C30D45" w:rsidRDefault="00D375CF">
      <w:pPr>
        <w:pStyle w:val="Standard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Zasady obsługi pompy insulinowej</w:t>
      </w:r>
    </w:p>
    <w:p w14:paraId="67BE3FA0" w14:textId="77777777" w:rsidR="00C30D45" w:rsidRDefault="00D375CF">
      <w:pPr>
        <w:pStyle w:val="Standard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Dane dotyczące osprzętu do pomp (rodzaje wkłuć, strzykawek, baterii itp.)</w:t>
      </w:r>
    </w:p>
    <w:p w14:paraId="089BC415" w14:textId="77777777" w:rsidR="00C30D45" w:rsidRDefault="00C30D45">
      <w:pPr>
        <w:pStyle w:val="Standard"/>
        <w:ind w:left="20" w:firstLine="20"/>
        <w:rPr>
          <w:color w:val="000000"/>
        </w:rPr>
      </w:pPr>
    </w:p>
    <w:p w14:paraId="5ABDFCC5" w14:textId="77777777" w:rsidR="00C30D45" w:rsidRDefault="00C30D45">
      <w:pPr>
        <w:pStyle w:val="Standard"/>
        <w:rPr>
          <w:color w:val="00000A"/>
        </w:rPr>
      </w:pPr>
    </w:p>
    <w:p w14:paraId="6F06EB74" w14:textId="77777777" w:rsidR="006E6BE3" w:rsidRPr="006E6BE3" w:rsidRDefault="006E6BE3" w:rsidP="006E6BE3">
      <w:pPr>
        <w:widowControl/>
        <w:autoSpaceDN/>
        <w:spacing w:line="100" w:lineRule="atLeast"/>
        <w:rPr>
          <w:rFonts w:eastAsia="Microsoft YaHei" w:cs="Times New Roman"/>
          <w:color w:val="002060"/>
          <w:kern w:val="0"/>
          <w:sz w:val="20"/>
          <w:szCs w:val="20"/>
          <w:lang w:bidi="ar-SA"/>
        </w:rPr>
      </w:pPr>
      <w:r w:rsidRPr="006E6BE3">
        <w:rPr>
          <w:rFonts w:eastAsia="Microsoft YaHei" w:cs="Times New Roman"/>
          <w:color w:val="002060"/>
          <w:kern w:val="0"/>
          <w:sz w:val="20"/>
          <w:szCs w:val="20"/>
          <w:lang w:bidi="ar-SA"/>
        </w:rPr>
        <w:t>Serwis gwarancyjny i pogwarancyjny prowadzi………………………..………………....... (uzupełnić)</w:t>
      </w:r>
    </w:p>
    <w:p w14:paraId="7783AE9C" w14:textId="77777777" w:rsidR="006E6BE3" w:rsidRPr="006E6BE3" w:rsidRDefault="006E6BE3" w:rsidP="006E6BE3">
      <w:pPr>
        <w:widowControl/>
        <w:autoSpaceDN/>
        <w:spacing w:line="100" w:lineRule="atLeast"/>
        <w:rPr>
          <w:rFonts w:eastAsia="Microsoft YaHei" w:cs="Times New Roman"/>
          <w:color w:val="002060"/>
          <w:kern w:val="0"/>
          <w:sz w:val="20"/>
          <w:szCs w:val="20"/>
          <w:lang w:bidi="ar-SA"/>
        </w:rPr>
      </w:pPr>
    </w:p>
    <w:p w14:paraId="11CE7F0D" w14:textId="77777777" w:rsidR="006E6BE3" w:rsidRPr="006E6BE3" w:rsidRDefault="006E6BE3" w:rsidP="006E6BE3">
      <w:pPr>
        <w:widowControl/>
        <w:autoSpaceDE w:val="0"/>
        <w:autoSpaceDN/>
        <w:adjustRightInd w:val="0"/>
        <w:spacing w:line="100" w:lineRule="atLeast"/>
        <w:ind w:right="58"/>
        <w:jc w:val="both"/>
        <w:rPr>
          <w:rFonts w:eastAsia="Microsoft YaHei" w:cs="Times New Roman"/>
          <w:color w:val="00000A"/>
          <w:kern w:val="0"/>
          <w:sz w:val="20"/>
          <w:szCs w:val="20"/>
          <w:lang w:eastAsia="ar-SA" w:bidi="ar-SA"/>
        </w:rPr>
      </w:pPr>
      <w:r w:rsidRPr="006E6BE3">
        <w:rPr>
          <w:rFonts w:eastAsia="Microsoft YaHei" w:cs="Times New Roman"/>
          <w:color w:val="00000A"/>
          <w:kern w:val="0"/>
          <w:sz w:val="20"/>
          <w:szCs w:val="20"/>
          <w:lang w:eastAsia="ar-SA" w:bidi="ar-SA"/>
        </w:rPr>
        <w:t>Parametry wymagane st</w:t>
      </w:r>
      <w:bookmarkStart w:id="0" w:name="_GoBack"/>
      <w:bookmarkEnd w:id="0"/>
      <w:r w:rsidRPr="006E6BE3">
        <w:rPr>
          <w:rFonts w:eastAsia="Microsoft YaHei" w:cs="Times New Roman"/>
          <w:color w:val="00000A"/>
          <w:kern w:val="0"/>
          <w:sz w:val="20"/>
          <w:szCs w:val="20"/>
          <w:lang w:eastAsia="ar-SA" w:bidi="ar-SA"/>
        </w:rPr>
        <w:t>anowią parametry graniczne / odcinające – nie spełnienie nawet jednego  z w/w parametrów spowoduje odrzucenie oferty. Brak opisu traktowany będzie jako brak danego parametru w oferowanej konfiguracji urządzenia.</w:t>
      </w:r>
    </w:p>
    <w:p w14:paraId="39ECCA40" w14:textId="77777777" w:rsidR="006E6BE3" w:rsidRPr="006E6BE3" w:rsidRDefault="006E6BE3" w:rsidP="006E6BE3">
      <w:pPr>
        <w:widowControl/>
        <w:autoSpaceDE w:val="0"/>
        <w:autoSpaceDN/>
        <w:adjustRightInd w:val="0"/>
        <w:spacing w:line="100" w:lineRule="atLeast"/>
        <w:ind w:right="58"/>
        <w:jc w:val="both"/>
        <w:rPr>
          <w:rFonts w:eastAsia="Microsoft YaHei" w:cs="Times New Roman"/>
          <w:color w:val="00000A"/>
          <w:kern w:val="0"/>
          <w:sz w:val="20"/>
          <w:szCs w:val="20"/>
          <w:lang w:eastAsia="ar-SA" w:bidi="ar-SA"/>
        </w:rPr>
      </w:pPr>
    </w:p>
    <w:p w14:paraId="4C17B963" w14:textId="77777777" w:rsidR="006E6BE3" w:rsidRPr="006E6BE3" w:rsidRDefault="006E6BE3" w:rsidP="006E6BE3">
      <w:pPr>
        <w:widowControl/>
        <w:autoSpaceDN/>
        <w:spacing w:line="100" w:lineRule="atLeast"/>
        <w:jc w:val="both"/>
        <w:rPr>
          <w:rFonts w:eastAsia="Times New Roman" w:cs="Times New Roman"/>
          <w:color w:val="00000A"/>
          <w:kern w:val="0"/>
          <w:sz w:val="20"/>
          <w:szCs w:val="20"/>
          <w:lang w:bidi="ar-SA"/>
        </w:rPr>
      </w:pPr>
      <w:r w:rsidRPr="006E6BE3">
        <w:rPr>
          <w:rFonts w:eastAsia="Times New Roman" w:cs="Times New Roman"/>
          <w:color w:val="00000A"/>
          <w:kern w:val="0"/>
          <w:sz w:val="20"/>
          <w:szCs w:val="20"/>
          <w:lang w:bidi="ar-SA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4596F2AC" w14:textId="77777777" w:rsidR="00C30D45" w:rsidRDefault="00C30D45">
      <w:pPr>
        <w:pStyle w:val="Standard"/>
        <w:spacing w:line="100" w:lineRule="atLeast"/>
        <w:jc w:val="both"/>
        <w:textAlignment w:val="auto"/>
      </w:pPr>
    </w:p>
    <w:p w14:paraId="4AE899E8" w14:textId="77777777" w:rsidR="00C30D45" w:rsidRDefault="00C30D45">
      <w:pPr>
        <w:pStyle w:val="Standard"/>
      </w:pPr>
    </w:p>
    <w:p w14:paraId="586548EC" w14:textId="77777777" w:rsidR="00C30D45" w:rsidRDefault="00C30D45">
      <w:pPr>
        <w:pStyle w:val="Standard"/>
      </w:pPr>
    </w:p>
    <w:p w14:paraId="40AB784D" w14:textId="77777777" w:rsidR="00C30D45" w:rsidRDefault="00C30D45">
      <w:pPr>
        <w:pStyle w:val="Standard"/>
      </w:pPr>
    </w:p>
    <w:p w14:paraId="0D32F166" w14:textId="77777777" w:rsidR="00C30D45" w:rsidRDefault="00C30D45">
      <w:pPr>
        <w:pStyle w:val="Standard"/>
      </w:pPr>
    </w:p>
    <w:p w14:paraId="76639E35" w14:textId="77777777" w:rsidR="00C30D45" w:rsidRDefault="00C30D45">
      <w:pPr>
        <w:pStyle w:val="Standard"/>
      </w:pPr>
    </w:p>
    <w:sectPr w:rsidR="00C30D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8AEFA" w14:textId="77777777" w:rsidR="00F22F18" w:rsidRDefault="00F22F18">
      <w:r>
        <w:separator/>
      </w:r>
    </w:p>
  </w:endnote>
  <w:endnote w:type="continuationSeparator" w:id="0">
    <w:p w14:paraId="11BE854E" w14:textId="77777777" w:rsidR="00F22F18" w:rsidRDefault="00F2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EBCB" w14:textId="77777777" w:rsidR="00F22F18" w:rsidRDefault="00F22F18">
      <w:r>
        <w:rPr>
          <w:color w:val="000000"/>
        </w:rPr>
        <w:separator/>
      </w:r>
    </w:p>
  </w:footnote>
  <w:footnote w:type="continuationSeparator" w:id="0">
    <w:p w14:paraId="6F95F0E2" w14:textId="77777777" w:rsidR="00F22F18" w:rsidRDefault="00F2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F92"/>
    <w:multiLevelType w:val="multilevel"/>
    <w:tmpl w:val="FB685FC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1" w15:restartNumberingAfterBreak="0">
    <w:nsid w:val="4F680CD2"/>
    <w:multiLevelType w:val="multilevel"/>
    <w:tmpl w:val="1610A35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5137030"/>
    <w:multiLevelType w:val="multilevel"/>
    <w:tmpl w:val="54304F0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45"/>
    <w:rsid w:val="00003587"/>
    <w:rsid w:val="000D1A08"/>
    <w:rsid w:val="0022420C"/>
    <w:rsid w:val="00254D60"/>
    <w:rsid w:val="004E521B"/>
    <w:rsid w:val="00536940"/>
    <w:rsid w:val="006E6BE3"/>
    <w:rsid w:val="006F6C3A"/>
    <w:rsid w:val="00766266"/>
    <w:rsid w:val="00914C83"/>
    <w:rsid w:val="00C30D45"/>
    <w:rsid w:val="00D375CF"/>
    <w:rsid w:val="00DB4C35"/>
    <w:rsid w:val="00E67446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AA1D"/>
  <w15:docId w15:val="{C5EFA446-A790-4BDD-8362-F6DD731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ekwasniewska</cp:lastModifiedBy>
  <cp:revision>10</cp:revision>
  <cp:lastPrinted>2022-03-09T07:14:00Z</cp:lastPrinted>
  <dcterms:created xsi:type="dcterms:W3CDTF">2021-03-17T12:18:00Z</dcterms:created>
  <dcterms:modified xsi:type="dcterms:W3CDTF">2022-03-09T07:28:00Z</dcterms:modified>
</cp:coreProperties>
</file>