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EZ/73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/EK</w:t>
      </w:r>
    </w:p>
    <w:p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276D16">
        <w:rPr>
          <w:color w:val="FF0000"/>
          <w:sz w:val="22"/>
          <w:szCs w:val="22"/>
          <w:lang w:eastAsia="zh-CN"/>
        </w:rPr>
        <w:t>a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>Załącznik nr 1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276D16">
        <w:rPr>
          <w:b/>
          <w:bCs/>
          <w:sz w:val="22"/>
          <w:szCs w:val="22"/>
          <w:lang w:eastAsia="zh-CN"/>
        </w:rPr>
        <w:t xml:space="preserve">Pakiet nr </w:t>
      </w:r>
      <w:r w:rsidR="00276D16">
        <w:rPr>
          <w:b/>
          <w:bCs/>
          <w:sz w:val="22"/>
          <w:szCs w:val="22"/>
          <w:lang w:eastAsia="zh-CN"/>
        </w:rPr>
        <w:t>1</w:t>
      </w: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Aparat do znieczulenia plus monitorowanie </w:t>
      </w:r>
      <w:r>
        <w:rPr>
          <w:b/>
          <w:sz w:val="22"/>
          <w:szCs w:val="22"/>
        </w:rPr>
        <w:t xml:space="preserve"> – 3</w:t>
      </w:r>
      <w:r w:rsidR="00B1099A" w:rsidRPr="00276D16">
        <w:rPr>
          <w:b/>
          <w:sz w:val="22"/>
          <w:szCs w:val="22"/>
        </w:rPr>
        <w:t xml:space="preserve"> szt.</w:t>
      </w:r>
    </w:p>
    <w:p w:rsidR="00276D16" w:rsidRP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P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276D16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proofErr w:type="spellStart"/>
            <w:r w:rsidRPr="00C47262">
              <w:rPr>
                <w:b/>
                <w:bCs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Parametry oferowane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Parametry ogólne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Aparat na podstawie jezdnej, hamulec centralny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Fabryczne uchwyty na dwie 10 litrowe butle rezerwowe, reduktory do butli O2 i N2O niewbudowane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Aparat przystosowany do pracy przy ciśnieniu sieci centralnej dla: O2, N2O, Powietrza od 2,7 </w:t>
            </w:r>
            <w:proofErr w:type="spellStart"/>
            <w:r w:rsidRPr="00C47262">
              <w:t>kPa</w:t>
            </w:r>
            <w:proofErr w:type="spellEnd"/>
            <w:r w:rsidRPr="00C47262">
              <w:t xml:space="preserve"> x 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Podgrzewany system oddechowy, możliwe wyłączenie/ włączenie podgrzewania przez użytkownika w konfiguracji systemu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Awaryjne zasilanie elektryczne całego systemu z wbudowanego akumulatora na co najmniej 100 minut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7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Blat roboczy. Wbudowane, regulowane oświetlenie blatu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1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Prezentacja ciśnień gazów w sieci centralnej i w butlach rezerwowych na ekranie głównym respiratora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System bezpieczeństwa zapewniający co najmniej 25% udział O</w:t>
            </w:r>
            <w:r w:rsidRPr="00C47262">
              <w:rPr>
                <w:vertAlign w:val="subscript"/>
              </w:rPr>
              <w:t>2</w:t>
            </w:r>
            <w:r w:rsidRPr="00C47262">
              <w:t xml:space="preserve"> w mieszaninie z N</w:t>
            </w:r>
            <w:r w:rsidRPr="00C47262">
              <w:rPr>
                <w:vertAlign w:val="subscript"/>
              </w:rPr>
              <w:t>2</w:t>
            </w:r>
            <w:r w:rsidRPr="00C47262">
              <w:t>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9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Wirtualne przepływomierze prezentowane na ekranie aparatu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Aparat przystosowany do prowadzenia znieczulania w technice </w:t>
            </w:r>
            <w:proofErr w:type="spellStart"/>
            <w:r w:rsidRPr="00C47262">
              <w:t>Low</w:t>
            </w:r>
            <w:proofErr w:type="spellEnd"/>
            <w:r w:rsidRPr="00C47262">
              <w:t xml:space="preserve"> </w:t>
            </w:r>
            <w:proofErr w:type="spellStart"/>
            <w:r w:rsidRPr="00C47262">
              <w:t>Flow</w:t>
            </w:r>
            <w:proofErr w:type="spellEnd"/>
            <w:r w:rsidRPr="00C47262">
              <w:t xml:space="preserve"> i </w:t>
            </w:r>
            <w:proofErr w:type="spellStart"/>
            <w:r w:rsidRPr="00C47262">
              <w:t>Minimal</w:t>
            </w:r>
            <w:proofErr w:type="spellEnd"/>
            <w:r w:rsidRPr="00C47262">
              <w:t xml:space="preserve"> </w:t>
            </w:r>
            <w:proofErr w:type="spellStart"/>
            <w:r w:rsidRPr="00C47262">
              <w:t>Flow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TAK,OPISAĆ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Wbudowany przepływomierz O2 do niezależnej podaży tlenu przez maskę lub kaniulę donosową, regulacja przepływu co najmniej od 0 do 18 l/min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Miejsca aktywne do zamocowania dwóch parowników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 dostawie 6 zbiorników jednorazowych z wapnem sodowanym, objętość pochłaniacza jednorazowego minimum 1200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Respirator, tryby wentylacji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9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Ekonomiczny respirator z napędem elektrycznym lub ekonomiczny respirator nie zużywający tlenu do napędu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Wentylacja kontrolowana objętościowo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Wentylacja kontrolowana ciśnieniowo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CPAP/PSV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Tryb wentylacji z gwarantowaną objętością typu Auto </w:t>
            </w:r>
            <w:proofErr w:type="spellStart"/>
            <w:r w:rsidRPr="00C47262">
              <w:t>Flow</w:t>
            </w:r>
            <w:proofErr w:type="spellEnd"/>
            <w:r w:rsidRPr="00C47262">
              <w:t>, PRVC; synchronizacja oddechów pacjenta z oddechami obowiązkowymi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2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5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Automatyczne przełączenie na gaz zastępczy:</w:t>
            </w:r>
            <w:r w:rsidRPr="00C47262">
              <w:br/>
              <w:t>-po zaniku O2 na 100 % powietrze</w:t>
            </w:r>
            <w:r w:rsidRPr="00C47262">
              <w:br/>
              <w:t>-po zaniku N2O na 100 % O2</w:t>
            </w:r>
            <w:r w:rsidRPr="00C47262">
              <w:br/>
              <w:t>-po zaniku Powietrza na 100% O2</w:t>
            </w:r>
            <w:r w:rsidRPr="00C47262">
              <w:br/>
              <w:t>we wszystkich przypadkach bieżący przepływ Świeżych Gazów p</w:t>
            </w:r>
            <w:r w:rsidR="00DC3F2D" w:rsidRPr="00C47262">
              <w:t>ozostaje stały.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8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Awaryjna podaż O2 i anestetyku z parownika po awarii zasilania sieciowego i rozładowanym akumulatorze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 xml:space="preserve">Regulacje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Zakres regulacji częstości oddechowej co najmniej od 4 do 100 </w:t>
            </w:r>
            <w:proofErr w:type="spellStart"/>
            <w:r w:rsidRPr="00C47262">
              <w:t>odd</w:t>
            </w:r>
            <w:proofErr w:type="spellEnd"/>
            <w:r w:rsidRPr="00C47262">
              <w:t>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Zakres regulacji plateau co najmniej od 0% do 50%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C47262">
        <w:trPr>
          <w:trHeight w:val="4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Zakres regulacji I:E co najmniej od 5:1 do 1:5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Zakres regulacji objętości oddechowej w trybie kontrolowanym objętościowo co najmniej od 10 do 1500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Zakres regulacji czułości wyzwalacza przepływowego co najmniej od 0,3 l/min do 15 l/min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6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Ciśnienie wdechowe regulowane w zakresie co najmniej  od 10 do 80 </w:t>
            </w:r>
            <w:proofErr w:type="spellStart"/>
            <w:r w:rsidRPr="00C47262">
              <w:t>hPa</w:t>
            </w:r>
            <w:proofErr w:type="spellEnd"/>
            <w:r w:rsidRPr="00C47262">
              <w:t xml:space="preserve"> (cmH2O)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6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Wspomaganie ciśnieniowe w trybie PSV regulowane w zakresie od 3 cmH2O do co najmniej 60 cmH2O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Regulacja czasu narastania ciśnienia w fazie wdechowej  (nie dotyczy czasu wdechu), podać zakres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Regulacja PEEP w zakresie co najmniej od 2 do 20 </w:t>
            </w:r>
            <w:proofErr w:type="spellStart"/>
            <w:r w:rsidRPr="00C47262">
              <w:t>hPa</w:t>
            </w:r>
            <w:proofErr w:type="spellEnd"/>
            <w:r w:rsidRPr="00C47262">
              <w:t xml:space="preserve"> (cmH2O); wymagana funkcja WYŁ (OFF)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9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1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Zmiana nastawy PEEP powoduje automatyczną zmianę ciśnienia </w:t>
            </w:r>
            <w:proofErr w:type="spellStart"/>
            <w:r w:rsidRPr="00C47262">
              <w:t>Pwdech</w:t>
            </w:r>
            <w:proofErr w:type="spellEnd"/>
            <w:r w:rsidRPr="00C47262">
              <w:t xml:space="preserve"> (różnica pomiędzy PEEP i </w:t>
            </w:r>
            <w:proofErr w:type="spellStart"/>
            <w:r w:rsidRPr="00C47262">
              <w:t>Pwdech</w:t>
            </w:r>
            <w:proofErr w:type="spellEnd"/>
            <w:r w:rsidRPr="00C47262">
              <w:t xml:space="preserve"> pozostaje stała) możliwe wyłączenie tej funkcjonalności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Prezentacje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7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Prezentacja krzywych w czasie rzeczywistym: p(t), CO2(t), prezentacja pętli p-V, V-przepływ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proofErr w:type="spellStart"/>
            <w:r w:rsidRPr="00C47262">
              <w:t>Ekonometr</w:t>
            </w:r>
            <w:proofErr w:type="spellEnd"/>
            <w:r w:rsidRPr="00C47262">
              <w:t xml:space="preserve"> (funkcja pozwalająca na optymalny dobór przepływu świeżych gazów) wraz z prezentacją trendu </w:t>
            </w:r>
            <w:proofErr w:type="spellStart"/>
            <w:r w:rsidRPr="00C47262">
              <w:t>ekonometru</w:t>
            </w:r>
            <w:proofErr w:type="spellEnd"/>
            <w:r w:rsidRPr="00C47262"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0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Funkcja </w:t>
            </w:r>
            <w:proofErr w:type="spellStart"/>
            <w:r w:rsidRPr="00C47262">
              <w:t>timera</w:t>
            </w:r>
            <w:proofErr w:type="spellEnd"/>
            <w:r w:rsidRPr="00C47262"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Prezentacja ΔVT (różnicy między objętością wdechową a wydechową)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0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Funkcja stopera (odliczanie czasu od zera) pomocna przy kontroli czasu znieczulenia, kontroli czasu; prezentacja na ekranie respiratora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Prezentacja MV </w:t>
            </w:r>
            <w:proofErr w:type="spellStart"/>
            <w:r w:rsidRPr="00C47262">
              <w:t>spont</w:t>
            </w:r>
            <w:proofErr w:type="spellEnd"/>
            <w:r w:rsidRPr="00C47262">
              <w:t xml:space="preserve">, RR </w:t>
            </w:r>
            <w:proofErr w:type="spellStart"/>
            <w:r w:rsidRPr="00C47262">
              <w:t>spont</w:t>
            </w:r>
            <w:proofErr w:type="spellEnd"/>
            <w:r w:rsidRPr="00C47262">
              <w:t xml:space="preserve"> (objętości minutowej i częstości oddechowej spontanicznej pacjenta)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Prezentacja podatności, oporu i elastancji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Funkcjonalność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C47262">
        <w:trPr>
          <w:trHeight w:val="9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41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Wyświetlanie ustawionych granic alarmowych obok mierzonego parametru, możliwe wyłączenie tej funkcji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Możliwe kontynuowanie wentylacji mechanicznej w przypadku gdy pomiar przepływu ulegnie awarii (uszkodzony czujnik przepływu)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Konfiguracja urządzenia może być eksportowana i importowana do/z innych aparatów tej serii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5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Moduł gazowy w aparacie (pomiar w strumieniu bocznym): pomiary i prezentacja wdechowego i wydechowego stężenia: O</w:t>
            </w:r>
            <w:r w:rsidRPr="00C47262">
              <w:rPr>
                <w:vertAlign w:val="subscript"/>
              </w:rPr>
              <w:t>2</w:t>
            </w:r>
            <w:r w:rsidRPr="00C47262">
              <w:t xml:space="preserve"> (pomiar paramagnetyczny), N</w:t>
            </w:r>
            <w:r w:rsidRPr="00C47262">
              <w:rPr>
                <w:vertAlign w:val="subscript"/>
              </w:rPr>
              <w:t>2</w:t>
            </w:r>
            <w:r w:rsidRPr="00C47262">
              <w:t>O, CO</w:t>
            </w:r>
            <w:r w:rsidRPr="00C47262">
              <w:rPr>
                <w:vertAlign w:val="subscript"/>
              </w:rPr>
              <w:t>2</w:t>
            </w:r>
            <w:r w:rsidRPr="00C47262">
              <w:t>, anestetyki (SEV, DES, ISO), automatyczna identyfikacja anestetyku, MAC skorelowany do wieku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Powrót próbki gazowej do układu oddechowego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1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Eksport do pamięci zewnętrznej USB: widoku ekranu (tzw. </w:t>
            </w:r>
            <w:proofErr w:type="spellStart"/>
            <w:r w:rsidRPr="00C47262">
              <w:t>PrtScr</w:t>
            </w:r>
            <w:proofErr w:type="spellEnd"/>
            <w:r w:rsidRPr="00C47262">
              <w:t xml:space="preserve"> lub zrzut ekranu), Dziennika (tzw. Rejestr  lub Dziennik Zdarzeń lub </w:t>
            </w:r>
            <w:proofErr w:type="spellStart"/>
            <w:r w:rsidRPr="00C47262">
              <w:t>Logbook</w:t>
            </w:r>
            <w:proofErr w:type="spellEnd"/>
            <w:r w:rsidRPr="00C47262">
              <w:t>, gdzie zapisywane są parametry pracy), wyników Testu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11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Automatyczne wstępne skalkulowanie parametrów wentylacji na podstawie wprowadzonej masy ciała i/lub wzrostu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Alarmy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Funkcja </w:t>
            </w:r>
            <w:proofErr w:type="spellStart"/>
            <w:r w:rsidRPr="00C47262">
              <w:t>Autoustawienia</w:t>
            </w:r>
            <w:proofErr w:type="spellEnd"/>
            <w:r w:rsidRPr="00C47262">
              <w:t xml:space="preserve"> alarmów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4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Alarm ciśnienia w drogach oddechowych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Alarm objętości minutowej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7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Alarm bezdechu generowany na podstawie analizy przepływu, ciśnienia, CO2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4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Alarm stężenia anestetyku wziewnego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Alarm braku zasilania w O2, Powietrze, N2O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Alarm wykrycia drugiego anestetyku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2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Alarm Niski </w:t>
            </w:r>
            <w:proofErr w:type="spellStart"/>
            <w:r w:rsidRPr="00C47262">
              <w:t>xMAC</w:t>
            </w:r>
            <w:proofErr w:type="spellEnd"/>
            <w:r w:rsidRPr="00C47262">
              <w:t xml:space="preserve">. Możliwa dezaktywacja monitorowania </w:t>
            </w:r>
            <w:proofErr w:type="spellStart"/>
            <w:r w:rsidRPr="00C47262">
              <w:t>xMAC</w:t>
            </w:r>
            <w:proofErr w:type="spellEnd"/>
            <w:r w:rsidRPr="00C47262">
              <w:t xml:space="preserve"> jako zabezpieczenie przed pojawianiem się alarmu Niski </w:t>
            </w:r>
            <w:proofErr w:type="spellStart"/>
            <w:r w:rsidRPr="00C47262">
              <w:t>xMAC</w:t>
            </w:r>
            <w:proofErr w:type="spellEnd"/>
            <w:r w:rsidRPr="00C47262">
              <w:t xml:space="preserve"> gdy stężenie anestetyku spada pod koniec znieczulania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Inne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276D16">
        <w:trPr>
          <w:trHeight w:val="8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Instrukcja obsługi i użytkowania w języku polskim, wersja drukowana, książkowa – nie dopuszcza się kserokopii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4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Oprogramowanie w języku polskim.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5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Dreny do podłączenia O</w:t>
            </w:r>
            <w:r w:rsidRPr="00C47262">
              <w:rPr>
                <w:vertAlign w:val="subscript"/>
              </w:rPr>
              <w:t>2</w:t>
            </w:r>
            <w:r w:rsidRPr="00C47262">
              <w:t>, N</w:t>
            </w:r>
            <w:r w:rsidRPr="00C47262">
              <w:rPr>
                <w:vertAlign w:val="subscript"/>
              </w:rPr>
              <w:t>2</w:t>
            </w:r>
            <w:r w:rsidRPr="00C47262">
              <w:t>O i Powietrza o dł. 5m każdy; wtyki typu AGA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Dodatkowe gniazda elektryczne, co najmniej 4 szt., zabezpieczone bezpiecznikami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Całkowicie automatyczny test główny bez interakcji z użytkownikiem w trakcie trwania procedury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1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Wymagane akcesoria dodatkowe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C47262">
        <w:trPr>
          <w:trHeight w:val="6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Zbiornik wielorazowy na wapno, możliwa sterylizacja parowa w temperaturze 134 st. 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Jednorazowe układy oddechowe, współosiowe, z pułapkami 10 szt. (worek oddechowy 2 L, długość rur co najmniej 170 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5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Jednorazowe wkłady na wydzielinę z żelem – 25 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Pułapki wodne do modułu gazowego 12 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Linie próbkujące 10 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both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Monitor do aparatu, wymagania ogólne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 </w:t>
            </w:r>
          </w:p>
        </w:tc>
      </w:tr>
      <w:tr w:rsidR="00276D16" w:rsidRPr="00C47262" w:rsidTr="00C47262">
        <w:trPr>
          <w:trHeight w:val="1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1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C47262">
              <w:t>multicast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5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C47262"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C47262">
              <w:br/>
              <w:t>Każdy monitor umożliwia jednoczesne wyświetlanie wszystkich wymaganych parametrów.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5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9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5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C47262"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9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Funkcja czasowego wyłączenia sterowania dotykowego, ułatwiająca czyszczenie ekranu, z automatycznym powrotem do normalnej pracy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1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rozbudowy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6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Możliwość rozbudowy oferowanego systemu monitorowania o komputerową kartę znieczulenia, posiadającą następującą funkcjonalność przynajmniej: </w:t>
            </w:r>
            <w:r w:rsidRPr="00C47262">
              <w:br/>
              <w:t xml:space="preserve">- możliwość automatycznego pobierania danych pacjenta ze szpitalnego systemu komputerowego (typu HIS), z wykorzystaniem protokołu HL7 (przynajmniej imię i nazwisko, wiek, wzrost i masa ciała), na podstawie wprowadzonego numeru identyfikacyjnego </w:t>
            </w:r>
            <w:r w:rsidRPr="00C47262">
              <w:br/>
              <w:t>- automatyczna akwizycja wybranych parametrów z monitora pacjenta i aparatu do znieczulania, w wybranych odstępach czasowych</w:t>
            </w:r>
            <w:r w:rsidRPr="00C47262">
              <w:br/>
              <w:t>- dokumentacja terapii płynowej i lekowej</w:t>
            </w:r>
            <w:r w:rsidRPr="00C47262">
              <w:br/>
              <w:t>- interaktywny dostęp do tej karty na ekranie oferowanego monitora pacjenta, obsługa za pomocą klawiatury i myszy komputerowej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5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- interaktywny dostęp do karty na stacjonarnych i przenośnych urządzeniach komputerowych</w:t>
            </w:r>
            <w:r w:rsidRPr="00C47262">
              <w:br/>
              <w:t xml:space="preserve">- formularze do wydruku oparte na aktualnym rozporządzeniu Ministra zdrowia </w:t>
            </w:r>
            <w:r w:rsidRPr="00C47262">
              <w:br/>
              <w:t>- możliwość archiwizacji w komputerowych systemach bazodanowych</w:t>
            </w:r>
            <w:r w:rsidRPr="00C47262">
              <w:br/>
              <w:t>- możliwość wykorzystania zbieranych danych do analiz i porównań, przy wykorzystaniu standardowych narzędzi analitycznych</w:t>
            </w:r>
            <w:r w:rsidRPr="00C47262">
              <w:br/>
              <w:t>Możliwość takiej rozbudowy dostępna w dniu składania oferty.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A80F58">
        <w:trPr>
          <w:trHeight w:val="3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8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6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rozbudowy o współpracę z aparatem do znieczulania w następującym zakresie, przynajmniej:</w:t>
            </w:r>
            <w:r w:rsidRPr="00C47262">
              <w:br/>
              <w:t>- synchronizacja czasu między aparatem a monitorem pacjenta</w:t>
            </w:r>
            <w:r w:rsidRPr="00C47262">
              <w:br/>
              <w:t>- przesyłanie z monitora do aparatu informacji o wieku i wzroście pacjenta</w:t>
            </w:r>
            <w:r w:rsidRPr="00C47262">
              <w:br/>
              <w:t>- wyciszanie alarmów monitora i aparatu dowolnym przyciskiem wyciszania w monitorze albo w aparacie</w:t>
            </w:r>
            <w:r w:rsidRPr="00C47262"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1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10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C47262"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DC3F2D">
        <w:trPr>
          <w:trHeight w:val="12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2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rozbudowy systemu monitorowania o zdalny dostęp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31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Możliwość rozbudowy systemu monitorowania o przenoszenie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6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</w:t>
            </w:r>
            <w:r w:rsidRPr="00C47262">
              <w:rPr>
                <w:b/>
                <w:bCs/>
              </w:rPr>
              <w:t xml:space="preserve"> co najmniej</w:t>
            </w:r>
            <w:r w:rsidRPr="00C47262">
              <w:t xml:space="preserve"> przez 3 godziny oraz zachowuje ciągłość w zakresie trendów powyższych parametrów i zdarzeń alarmowych przed odłączeniem zasilania, w trakcie i po przywróceniu zasilania.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6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6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Wszystkie elementy monitora chłodzone pasywnie, bez wspomagania wentylatorem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Monitor ergonomicznie zamocowany do aparatu do znieczulania. Dostępna deklaracja zgodności aparatu z monitorem wydana przez producenta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Alarmy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1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9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Możliwość trwałego i czasowego zablokowania alarmów tylko ciśnienia inwazyjnego, niezależnie od pozostałych alarmów, z dobrze widoczną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2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9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Świetlna sygnalizacja alarmów, w trzech kolorach, odpowiadających poziomom alarmów (czerwony, żółty, niebieski), widoczna z 360 stopni dookoła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Specjalny, dobrze widoczna sygnalizująca wyciszenie i zawieszenie alarmów, z informacją o pozostałym czasie wyciszenia i zawieszenia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Informacja o ustawionej głośności alarmów, stale wyświetlana na ekranie monitora, podczas normalnej pracy monitora bez alarmu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6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DC3F2D">
            <w:pPr>
              <w:suppressAutoHyphens w:val="0"/>
              <w:autoSpaceDN/>
              <w:jc w:val="both"/>
              <w:textAlignment w:val="auto"/>
            </w:pPr>
            <w:r w:rsidRPr="00C47262"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Transport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A80F58">
        <w:trPr>
          <w:trHeight w:val="26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5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5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9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Masa modułu transportowego </w:t>
            </w:r>
            <w:r w:rsidRPr="00C47262">
              <w:rPr>
                <w:b/>
                <w:bCs/>
              </w:rPr>
              <w:t>poniżej</w:t>
            </w:r>
            <w:r w:rsidRPr="00C47262">
              <w:t xml:space="preserve"> 1 kg, z ekranem i zasilaniem z wbudowanego akumulatora </w:t>
            </w:r>
            <w:r w:rsidRPr="00C47262">
              <w:rPr>
                <w:b/>
                <w:bCs/>
              </w:rPr>
              <w:t>minimum</w:t>
            </w:r>
            <w:r w:rsidRPr="00C47262">
              <w:t xml:space="preserve"> przez 3 godziny ciągłego monitorowania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6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Moduł transportowy umożliwia sterowanie pracą pompy do </w:t>
            </w:r>
            <w:proofErr w:type="spellStart"/>
            <w:r w:rsidRPr="00C47262">
              <w:t>kontrpulsacji</w:t>
            </w:r>
            <w:proofErr w:type="spellEnd"/>
            <w:r w:rsidRPr="00C47262">
              <w:t xml:space="preserve"> podczas transportu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2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Moduł transportowy wyposażony w ekran dotykowy o przekątnej min. 6”. Ekran pokazuje przynajmniej 3,5 sekundy przebiegów dynamicznych przy standardowej szybkości odświeżania 25 mm/s.</w:t>
            </w:r>
            <w:r w:rsidRPr="00C47262"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Moduł transportowy, przystosowany do zagrożeń związanych z transportem, odporny na zachlapania (min. IPX4) i upadek z wysokości przynajmniej 1 metra, potwierdzone odpowiednimi deklaracjami producenta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3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Moduł transportowy wyposażony w uchwyt do przenoszenia, umożliwiający pewne trzymanie w dłoni, bez konieczności odłączania go w przypadku podłączania modułu na stanowisku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9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rozbudowy o połączenie bezprzewodowe (</w:t>
            </w:r>
            <w:proofErr w:type="spellStart"/>
            <w:r w:rsidRPr="00C47262">
              <w:t>WiFi</w:t>
            </w:r>
            <w:proofErr w:type="spellEnd"/>
            <w:r w:rsidRPr="00C47262">
              <w:t>) z siecią centralnego monitorowania, uruchamiane samoczynnie bezpośrednio po zdjęciu modułu ze stanowiska pacjenta.</w:t>
            </w:r>
            <w:r w:rsidRPr="00C47262">
              <w:br/>
              <w:t xml:space="preserve">Transmisja bezprzewodowa </w:t>
            </w:r>
            <w:proofErr w:type="spellStart"/>
            <w:r w:rsidRPr="00C47262">
              <w:t>WiFi</w:t>
            </w:r>
            <w:proofErr w:type="spellEnd"/>
            <w:r w:rsidRPr="00C47262">
              <w:t xml:space="preserve"> zabezpieczona na poziomie przynajmniej WPA2-PSK lub równoważnym. Rozwiązania inne, niż oparte na standardach przemysłowych, nie będą akceptowane.</w:t>
            </w:r>
            <w:r w:rsidRPr="00C47262">
              <w:br/>
              <w:t xml:space="preserve">Rozbudowa o </w:t>
            </w:r>
            <w:proofErr w:type="spellStart"/>
            <w:r w:rsidRPr="00C47262">
              <w:t>WiFi</w:t>
            </w:r>
            <w:proofErr w:type="spellEnd"/>
            <w:r w:rsidRPr="00C47262">
              <w:t xml:space="preserve"> możliwa bez konieczności wysyłania monitora do serwisu. Funkcjonalność </w:t>
            </w:r>
            <w:proofErr w:type="spellStart"/>
            <w:r w:rsidRPr="00C47262">
              <w:t>WiFi</w:t>
            </w:r>
            <w:proofErr w:type="spellEnd"/>
            <w:r w:rsidRPr="00C47262">
              <w:t xml:space="preserve"> nie może zmienić wymiarów, masy, ani odporności modułu na warunki zewnętrzne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  <w:r w:rsidRPr="00C47262">
              <w:br/>
              <w:t>Opisać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5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3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1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Możliwości monitorowania parametrów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Pomiar EKG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2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135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Możliwość monitorowania oraz jednoczesnego wyświetlania </w:t>
            </w:r>
            <w:proofErr w:type="spellStart"/>
            <w:r w:rsidRPr="00C47262">
              <w:t>odprowadzeń</w:t>
            </w:r>
            <w:proofErr w:type="spellEnd"/>
            <w:r w:rsidRPr="00C47262"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1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Możliwość monitorowania 12 </w:t>
            </w:r>
            <w:proofErr w:type="spellStart"/>
            <w:r w:rsidRPr="00C47262">
              <w:t>odprowadzeń</w:t>
            </w:r>
            <w:proofErr w:type="spellEnd"/>
            <w:r w:rsidRPr="00C47262">
              <w:t xml:space="preserve"> z 6 elektrod, w standardowym układzie </w:t>
            </w:r>
            <w:proofErr w:type="spellStart"/>
            <w:r w:rsidRPr="00C47262">
              <w:t>odprowadzeń</w:t>
            </w:r>
            <w:proofErr w:type="spellEnd"/>
            <w:r w:rsidRPr="00C47262">
              <w:t xml:space="preserve"> kończynowych i przedsercowych, po zastosowaniu odpowiedniego przewodu pomiarowego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8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Włączany na żądanie filtr ograniczający zakłócenia wysokiej częstotliwości, pochodzące z urządzeń do elektrochirurgii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Monitorowanie odchylenia ST we wszystkich jednocześnie monitorowanych </w:t>
            </w:r>
            <w:proofErr w:type="spellStart"/>
            <w:r w:rsidRPr="00C47262">
              <w:t>odprowadzeniach</w:t>
            </w:r>
            <w:proofErr w:type="spellEnd"/>
            <w:r w:rsidRPr="00C47262">
              <w:t xml:space="preserve"> EKG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8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posiada możliwość  diagnostycznego monitorowania EKG, z częstością próbkowania sygnału co najmniej 500 razy na sekundę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Zakres pomiarowy częstości akcji serca przynajmniej 15 - 300 uderzeń na minutę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Pomiar oddechu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8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Ustawiany czas opóźnienia alarmu bezdechu w zakresie min. 10 - 30 sekund od ostatniego wykrytego oddechu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Pomiar saturacji i tętna (SpO2)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7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Moduł pomiarowy SpO2 umożliwiający poprawne pomiary w warunkach niskiej perfuzji i artefaktów ruchowych algorytmem </w:t>
            </w:r>
            <w:proofErr w:type="spellStart"/>
            <w:r w:rsidRPr="00C47262">
              <w:t>Masimo</w:t>
            </w:r>
            <w:proofErr w:type="spellEnd"/>
            <w:r w:rsidRPr="00C47262">
              <w:t xml:space="preserve"> </w:t>
            </w:r>
            <w:proofErr w:type="spellStart"/>
            <w:r w:rsidRPr="00C47262">
              <w:t>rainbow</w:t>
            </w:r>
            <w:proofErr w:type="spellEnd"/>
            <w:r w:rsidRPr="00C47262"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C47262">
              <w:t>pletyzmograficzna</w:t>
            </w:r>
            <w:proofErr w:type="spellEnd"/>
            <w:r w:rsidRPr="00C47262">
              <w:t xml:space="preserve"> oraz wskaźnik perfuzji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3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Monitor umożliwia podłączenie modułów pomiarowych saturacji opartych na różnych technologiach, przynajmniej: </w:t>
            </w:r>
            <w:proofErr w:type="spellStart"/>
            <w:r w:rsidRPr="00C47262">
              <w:t>Masimo</w:t>
            </w:r>
            <w:proofErr w:type="spellEnd"/>
            <w:r w:rsidRPr="00C47262">
              <w:t xml:space="preserve"> SET, </w:t>
            </w:r>
            <w:proofErr w:type="spellStart"/>
            <w:r w:rsidRPr="00C47262">
              <w:t>Masimo</w:t>
            </w:r>
            <w:proofErr w:type="spellEnd"/>
            <w:r w:rsidRPr="00C47262">
              <w:t xml:space="preserve"> </w:t>
            </w:r>
            <w:proofErr w:type="spellStart"/>
            <w:r w:rsidRPr="00C47262">
              <w:t>rainbow</w:t>
            </w:r>
            <w:proofErr w:type="spellEnd"/>
            <w:r w:rsidRPr="00C47262">
              <w:t xml:space="preserve"> SET i </w:t>
            </w:r>
            <w:proofErr w:type="spellStart"/>
            <w:r w:rsidRPr="00C47262">
              <w:t>Nellcor</w:t>
            </w:r>
            <w:proofErr w:type="spellEnd"/>
            <w:r w:rsidRPr="00C47262">
              <w:t>, również podczas transportu. Wymiana technologii pomiaru może być dokonana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2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C47262">
              <w:t>Masimo</w:t>
            </w:r>
            <w:proofErr w:type="spellEnd"/>
            <w:r w:rsidRPr="00C47262">
              <w:t xml:space="preserve"> SET i </w:t>
            </w:r>
            <w:proofErr w:type="spellStart"/>
            <w:r w:rsidRPr="00C47262">
              <w:t>Nellcor</w:t>
            </w:r>
            <w:proofErr w:type="spellEnd"/>
            <w:r w:rsidRPr="00C47262">
              <w:t xml:space="preserve"> w drugim torze, niezależnie od technologii wykorzystywanej w podstawowym torze.</w:t>
            </w:r>
            <w:r w:rsidRPr="00C47262">
              <w:br/>
              <w:t>Możliwość opisania miejsca pomiaru w drugim torze za pomocą standardowych oznaczeń, przynajmniej 6 różnych oznaczeń do wyboru.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Nieinwazyjny pomiar ciśnienia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Tryb </w:t>
            </w:r>
            <w:proofErr w:type="spellStart"/>
            <w:r w:rsidRPr="00C47262">
              <w:t>stazy</w:t>
            </w:r>
            <w:proofErr w:type="spellEnd"/>
            <w:r w:rsidRPr="00C47262">
              <w:t xml:space="preserve"> żylnej i ciągłych pomiarów </w:t>
            </w:r>
            <w:r w:rsidRPr="00C47262">
              <w:rPr>
                <w:b/>
                <w:bCs/>
              </w:rPr>
              <w:t>przez 5 minut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włączenia automatycznego blokowania alarmów saturacji podczas pomiaru saturacji i NIBP na tej samej kończynie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Inwazyjny pomiar ciśnienia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A80F58">
        <w:trPr>
          <w:trHeight w:val="8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przypisania nazw do poszczególnych torów pomiarowych, powiązanych z miejscem pomiaru, łącznie przynajmniej 28 nazw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A80F58">
        <w:trPr>
          <w:trHeight w:val="10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wyzerowania wszystkich ciśnień jednym poleceniem (np. przyciskiem)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4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1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 xml:space="preserve">Pomiar temperatury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może obsłużyć pomiar przynajmniej 4 temperatur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Jednoczesne wyświetlanie 3 wartości temperatury: T1, T2 i ich różnicy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16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przydzielania dodatkowych etykiet (oprócz oznaczeń 1, 2… albo a, b…, lub podobnych) do poszczególnych torów pomiarowych temperatury, precyzujących miejsce dokonywania pomiaru, za pomocą standardowych etykiet, przynajmniej 11 różnych nazw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5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Pomiar CO2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21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9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W przypadku strumienia bocznego pomiar realizowany metodą małych przepływów, ok. 50 ml/min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Pomiar zwiotczenia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47262">
        <w:trPr>
          <w:trHeight w:val="28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  <w:r w:rsidRPr="00C47262">
              <w:br/>
              <w:t>Dostępne metody stymulacji, przynajmniej:</w:t>
            </w:r>
            <w:r w:rsidRPr="00C47262">
              <w:br/>
              <w:t xml:space="preserve">- Train Of </w:t>
            </w:r>
            <w:proofErr w:type="spellStart"/>
            <w:r w:rsidRPr="00C47262">
              <w:t>Four</w:t>
            </w:r>
            <w:proofErr w:type="spellEnd"/>
            <w:r w:rsidRPr="00C47262">
              <w:t>, obliczanie T1/T4 i Tref/T4</w:t>
            </w:r>
            <w:r w:rsidRPr="00C47262">
              <w:br/>
              <w:t>- TOF z ustawianymi odstępami automatycznych pomiarów</w:t>
            </w:r>
            <w:r w:rsidRPr="00C47262">
              <w:br/>
              <w:t xml:space="preserve">- Tetanus 50 </w:t>
            </w:r>
            <w:proofErr w:type="spellStart"/>
            <w:r w:rsidRPr="00C47262">
              <w:t>Hz</w:t>
            </w:r>
            <w:proofErr w:type="spellEnd"/>
            <w:r w:rsidRPr="00C47262">
              <w:br/>
              <w:t xml:space="preserve">- Single </w:t>
            </w:r>
            <w:proofErr w:type="spellStart"/>
            <w:r w:rsidRPr="00C47262">
              <w:t>Twitch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A80F58">
        <w:trPr>
          <w:trHeight w:val="14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Pomiar za pomocą zewnętrznego urządzenia, przekazującego wyniki pomiarów do oferowanego kardiomonitora. Wyniki pomiarów NMT wyświetlane na ekranie oferowanego monitora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A80F58">
        <w:trPr>
          <w:trHeight w:val="9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Możliwość pomiarów przewodnictwa nerwowo mięśniowego u dorosłych i dzieci,  poprzez zastosowanie </w:t>
            </w:r>
            <w:proofErr w:type="spellStart"/>
            <w:r w:rsidRPr="00C47262">
              <w:t>odopowiedniego</w:t>
            </w:r>
            <w:proofErr w:type="spellEnd"/>
            <w:r w:rsidRPr="00C47262">
              <w:t xml:space="preserve"> czujnika.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Możliwość stosowania czujników jednorazowych.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47262">
              <w:rPr>
                <w:b/>
                <w:bCs/>
              </w:rPr>
              <w:t>Wymagane akcesoria pomiarowe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174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Przewód EKG do podłączenia 3 elektrod, długość przynajmniej 3 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Czujnik SpO2 dla dorosłych na palec, z przewodem min. 3 metry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C71C23">
        <w:trPr>
          <w:trHeight w:val="18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Czujnik temperatury skóry, z przewodem min. 3 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Akcesoria do pomiaru ciśnienia metodą inwazyjną przynajmniej w 2 torach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</w:p>
        </w:tc>
      </w:tr>
      <w:tr w:rsidR="00C71C23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lastRenderedPageBreak/>
              <w:t>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textAlignment w:val="auto"/>
            </w:pPr>
            <w:r w:rsidRPr="00C47262">
              <w:t>Akcesoria do pomiaru NMT dla dorosłych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textAlignment w:val="auto"/>
            </w:pPr>
          </w:p>
        </w:tc>
      </w:tr>
      <w:tr w:rsidR="00C71C23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textAlignment w:val="auto"/>
            </w:pPr>
            <w:r w:rsidRPr="00C47262">
              <w:t>Instrukcja obsługi urządzenia w języku polskim – załączyć przy dostawie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23" w:rsidRPr="00C47262" w:rsidRDefault="00DC3F2D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textAlignment w:val="auto"/>
            </w:pPr>
          </w:p>
        </w:tc>
      </w:tr>
      <w:tr w:rsidR="00C71C23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textAlignment w:val="auto"/>
            </w:pPr>
            <w:r w:rsidRPr="00C47262"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C23" w:rsidRPr="00C47262" w:rsidRDefault="00DC3F2D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C23" w:rsidRPr="00C47262" w:rsidRDefault="00C71C23" w:rsidP="00276D16">
            <w:pPr>
              <w:suppressAutoHyphens w:val="0"/>
              <w:autoSpaceDN/>
              <w:textAlignment w:val="auto"/>
            </w:pPr>
          </w:p>
        </w:tc>
      </w:tr>
      <w:tr w:rsidR="00276D16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C71C23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182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C71C23" w:rsidP="00276D16">
            <w:pPr>
              <w:suppressAutoHyphens w:val="0"/>
              <w:autoSpaceDN/>
              <w:textAlignment w:val="auto"/>
            </w:pPr>
            <w:r w:rsidRPr="00C47262">
              <w:t>Okres pełnej gwarancji – min.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C47262" w:rsidRDefault="00C71C23" w:rsidP="00276D16">
            <w:pPr>
              <w:suppressAutoHyphens w:val="0"/>
              <w:autoSpaceDN/>
              <w:jc w:val="center"/>
              <w:textAlignment w:val="auto"/>
            </w:pPr>
            <w:r w:rsidRPr="00C47262"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D16" w:rsidRPr="00C47262" w:rsidRDefault="00276D16" w:rsidP="00276D16">
            <w:pPr>
              <w:suppressAutoHyphens w:val="0"/>
              <w:autoSpaceDN/>
              <w:textAlignment w:val="auto"/>
            </w:pPr>
            <w:r w:rsidRPr="00C47262">
              <w:t> </w:t>
            </w:r>
            <w:r w:rsidR="00C71C23" w:rsidRPr="00C47262">
              <w:rPr>
                <w:i/>
                <w:color w:val="FF0000"/>
              </w:rPr>
              <w:t>(dodatkowy okres gwarancji będzie punktowany zgodnie z kryterium oceny ofert opisanym pkt.38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276D16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276D16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33" w:rsidRDefault="002F2233" w:rsidP="00E67BE7">
      <w:r>
        <w:separator/>
      </w:r>
    </w:p>
  </w:endnote>
  <w:endnote w:type="continuationSeparator" w:id="0">
    <w:p w:rsidR="002F2233" w:rsidRDefault="002F223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276D16" w:rsidRDefault="00276D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62">
          <w:rPr>
            <w:noProof/>
          </w:rPr>
          <w:t>17</w:t>
        </w:r>
        <w:r>
          <w:fldChar w:fldCharType="end"/>
        </w:r>
      </w:p>
    </w:sdtContent>
  </w:sdt>
  <w:p w:rsidR="00276D16" w:rsidRDefault="00276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33" w:rsidRDefault="002F2233" w:rsidP="00E67BE7">
      <w:r>
        <w:separator/>
      </w:r>
    </w:p>
  </w:footnote>
  <w:footnote w:type="continuationSeparator" w:id="0">
    <w:p w:rsidR="002F2233" w:rsidRDefault="002F223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16" w:rsidRDefault="00276D1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D16" w:rsidRDefault="00276D16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 xml:space="preserve">Dostosowanie pomieszczeń Kliniki Anestezjologii i Intensywnej Terapii 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2233"/>
    <w:rsid w:val="002F6293"/>
    <w:rsid w:val="00332670"/>
    <w:rsid w:val="003403E2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E7B69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0990-6A37-4867-BC0E-17F8C9D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4582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6</cp:revision>
  <cp:lastPrinted>2022-03-22T10:09:00Z</cp:lastPrinted>
  <dcterms:created xsi:type="dcterms:W3CDTF">2022-04-04T07:26:00Z</dcterms:created>
  <dcterms:modified xsi:type="dcterms:W3CDTF">2022-04-25T08:00:00Z</dcterms:modified>
</cp:coreProperties>
</file>