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8" w:rsidRPr="009862CA" w:rsidRDefault="009604D8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BC3B6A">
        <w:rPr>
          <w:b/>
          <w:bCs/>
          <w:sz w:val="22"/>
          <w:szCs w:val="22"/>
          <w:lang w:eastAsia="zh-CN"/>
        </w:rPr>
        <w:t>73</w:t>
      </w:r>
      <w:r w:rsidR="00EE2FEF">
        <w:rPr>
          <w:b/>
          <w:bCs/>
          <w:sz w:val="22"/>
          <w:szCs w:val="22"/>
          <w:lang w:eastAsia="zh-CN"/>
        </w:rPr>
        <w:t>/2022</w:t>
      </w:r>
      <w:r w:rsidRPr="009862CA">
        <w:rPr>
          <w:b/>
          <w:bCs/>
          <w:sz w:val="22"/>
          <w:szCs w:val="22"/>
          <w:lang w:eastAsia="zh-CN"/>
        </w:rPr>
        <w:t>/EK</w:t>
      </w:r>
    </w:p>
    <w:p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04D8">
        <w:rPr>
          <w:color w:val="FF0000"/>
          <w:sz w:val="22"/>
          <w:szCs w:val="22"/>
          <w:lang w:eastAsia="zh-CN"/>
        </w:rPr>
        <w:t>Załącznik nr 2</w:t>
      </w:r>
      <w:r w:rsidR="00FC130B">
        <w:rPr>
          <w:color w:val="FF0000"/>
          <w:sz w:val="22"/>
          <w:szCs w:val="22"/>
          <w:lang w:eastAsia="zh-CN"/>
        </w:rPr>
        <w:t>f</w:t>
      </w:r>
      <w:r w:rsidR="004F4D45" w:rsidRPr="009604D8">
        <w:rPr>
          <w:color w:val="FF0000"/>
          <w:sz w:val="22"/>
          <w:szCs w:val="22"/>
          <w:lang w:eastAsia="zh-CN"/>
        </w:rPr>
        <w:t xml:space="preserve"> do S</w:t>
      </w:r>
      <w:r w:rsidRPr="009604D8">
        <w:rPr>
          <w:color w:val="FF0000"/>
          <w:sz w:val="22"/>
          <w:szCs w:val="22"/>
          <w:lang w:eastAsia="zh-CN"/>
        </w:rPr>
        <w:t>WZ</w:t>
      </w:r>
    </w:p>
    <w:p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  <w:r w:rsidRPr="009604D8">
        <w:rPr>
          <w:b/>
          <w:bCs/>
          <w:sz w:val="22"/>
          <w:szCs w:val="22"/>
          <w:lang w:eastAsia="zh-CN"/>
        </w:rPr>
        <w:t xml:space="preserve">Pakiet nr </w:t>
      </w:r>
      <w:r w:rsidR="00FC130B">
        <w:rPr>
          <w:b/>
          <w:bCs/>
          <w:sz w:val="22"/>
          <w:szCs w:val="22"/>
          <w:lang w:eastAsia="zh-CN"/>
        </w:rPr>
        <w:t>6</w:t>
      </w:r>
    </w:p>
    <w:p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B1099A" w:rsidRDefault="00FC130B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Pompa TIVA</w:t>
      </w:r>
      <w:r>
        <w:rPr>
          <w:b/>
          <w:sz w:val="22"/>
          <w:szCs w:val="22"/>
        </w:rPr>
        <w:t xml:space="preserve"> – 6</w:t>
      </w:r>
      <w:r w:rsidR="00B1099A" w:rsidRPr="00B1099A">
        <w:rPr>
          <w:b/>
          <w:sz w:val="22"/>
          <w:szCs w:val="22"/>
        </w:rPr>
        <w:t xml:space="preserve"> szt.</w:t>
      </w:r>
    </w:p>
    <w:p w:rsidR="00587DF4" w:rsidRDefault="00587DF4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p w:rsidR="00587DF4" w:rsidRDefault="00587DF4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4775"/>
        <w:gridCol w:w="1292"/>
        <w:gridCol w:w="1803"/>
      </w:tblGrid>
      <w:tr w:rsidR="002B3350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4932E8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6D3979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91787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</w:t>
            </w:r>
            <w:r w:rsidR="002B3350" w:rsidRPr="009862CA">
              <w:rPr>
                <w:rFonts w:ascii="Times New Roman" w:hAnsi="Times New Roman"/>
                <w:b/>
                <w:bCs/>
              </w:rPr>
              <w:t>arametry oferowane</w:t>
            </w:r>
          </w:p>
        </w:tc>
      </w:tr>
      <w:tr w:rsidR="002B3350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1</w:t>
            </w:r>
          </w:p>
        </w:tc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F81640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F81640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2</w:t>
            </w:r>
          </w:p>
        </w:tc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F81640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F81640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3</w:t>
            </w:r>
          </w:p>
        </w:tc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F81640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F81640">
              <w:rPr>
                <w:rFonts w:ascii="Times New Roman" w:hAnsi="Times New Roman"/>
              </w:rPr>
              <w:t xml:space="preserve">Rok produkcji </w:t>
            </w:r>
            <w:r w:rsidR="00587DF4" w:rsidRPr="00F81640">
              <w:rPr>
                <w:rFonts w:ascii="Times New Roman" w:hAnsi="Times New Roman"/>
              </w:rPr>
              <w:t>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930A3B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130B" w:rsidRPr="009862CA" w:rsidTr="00445E5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4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Pompa </w:t>
            </w:r>
            <w:proofErr w:type="spellStart"/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>strzykawkowa</w:t>
            </w:r>
            <w:proofErr w:type="spellEnd"/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anestezjologiczna, TIVA, do podawania znieczulenia dożylnego,  sterowana elektronicznie umożliwiająca współpracę z systemem centralnego zasilania i zarządzania danymi.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130B" w:rsidRPr="009862CA" w:rsidTr="00445E5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5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>Zasilanie pompy bezpośrednio z sieci za pomocą kabla; niedopuszczalny zasilacz zewnętrzny.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445E5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6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Zasilanie z akumulatora wewnętrznego min 10 godz. przy przepływie 5 ml/godz.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445E5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7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>Masa pompy wraz z uchwytem mocującym oraz transportowym ≤2,2 kg.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445E5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8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>Możliwość mocowania pompy do rury pionowej przy pomocy elementu na stałe wbudowanego w pompę.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2C794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9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Zatrzaskowe mocowanie w opcjonalnej stacji dokującej wraz z zaciskiem i uchwytem do przenoszenia.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2C794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10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>Zintegrowana z obudową rączka do przenoszenia urządzenia.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2C794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11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Mocowanie strzykawki do czoła pompy.            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2C794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12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>Cała strzykawka stale widoczna podczas pracy pompy – możliwość odczytania objętości ze skali oraz wizualnej kontroli procesu infuzji.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2C794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13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>Pełne mocowanie strzykawki możliwe zarówno przy włączonej jak i wyłączonej pompie – system obsługiwany całkowicie manualnie.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2C794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14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>Osłona tłoka strzykawki uniemożliwiająca wciśnięcie tłoka strzykawki zamontowanej w pompie.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2C794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15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>Pompa skalibrowana do pracy ze strzykawkami o objętości 5, 10, 20, 30/35 i 50/60 ml różnych typów oraz różnych producentów.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2C794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16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>Mechanizm blokujący tłok zapobiegający samoczynnemu opróżnianiu strzykawki.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2C794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17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Automatyczna funkcja </w:t>
            </w:r>
            <w:proofErr w:type="spellStart"/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>antybolus</w:t>
            </w:r>
            <w:proofErr w:type="spellEnd"/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po okluzji – zabezpieczenie przed podaniem niekontrolowanego bolusa po alarmie okluzji, ograniczenie bolusa &lt; 0,35 ml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2C794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>Zakres szybkości infuzji 0,1 – 1200 ml/godz.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2C794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19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>Funkcja programowania infuzji co 0,01 w zakresie min. 0,1 – 9,99 ml/godz.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2C794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20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>Zmiana szybkości infuzji bez konieczności przerywania wlewu.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FA06D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21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Możliwość programowania infuzji w jednostkach masy: </w:t>
            </w:r>
            <w:proofErr w:type="spellStart"/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>ng</w:t>
            </w:r>
            <w:proofErr w:type="spellEnd"/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>μg</w:t>
            </w:r>
            <w:proofErr w:type="spellEnd"/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>mg,g</w:t>
            </w:r>
            <w:proofErr w:type="spellEnd"/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, </w:t>
            </w:r>
            <w:proofErr w:type="spellStart"/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>mmol</w:t>
            </w:r>
            <w:proofErr w:type="spellEnd"/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>mU</w:t>
            </w:r>
            <w:proofErr w:type="spellEnd"/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, U, kcal, </w:t>
            </w:r>
            <w:proofErr w:type="spellStart"/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>mEq</w:t>
            </w:r>
            <w:proofErr w:type="spellEnd"/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– na kg masy ciała pacjenta lub nie, na czas (na 24godziny, godzinę oraz minutę).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FA06DA">
        <w:trPr>
          <w:cantSplit/>
          <w:trHeight w:val="506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22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>Bolus podawany na żądanie bez konieczności wstrzymywania trwającej infuzji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FA06DA">
        <w:trPr>
          <w:cantSplit/>
          <w:trHeight w:val="1211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23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autoSpaceDE w:val="0"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Trzy rodzaje bolusa: </w:t>
            </w:r>
          </w:p>
          <w:p w:rsidR="00FC130B" w:rsidRPr="00F81640" w:rsidRDefault="00FC130B" w:rsidP="00FC130B">
            <w:pPr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/>
              <w:spacing w:after="51"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Ręczny - szybkości podaży 50 – 1200 ml/h </w:t>
            </w:r>
          </w:p>
          <w:p w:rsidR="00FC130B" w:rsidRPr="00F81640" w:rsidRDefault="00FC130B" w:rsidP="00FC130B">
            <w:pPr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/>
              <w:spacing w:after="51"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Programowany - dawka lub objętość/czas: 0,1-99,9 ml / 0,01-9999 jedn./1s-24 h </w:t>
            </w:r>
          </w:p>
          <w:p w:rsidR="00FC130B" w:rsidRPr="00F81640" w:rsidRDefault="00FC130B" w:rsidP="00FC130B">
            <w:pPr>
              <w:numPr>
                <w:ilvl w:val="0"/>
                <w:numId w:val="21"/>
              </w:numPr>
              <w:tabs>
                <w:tab w:val="left" w:pos="0"/>
              </w:tabs>
              <w:autoSpaceDE w:val="0"/>
              <w:autoSpaceDN/>
              <w:jc w:val="both"/>
              <w:textAlignment w:val="auto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manualne przesunięcie tłoka strzykawki z funkcją zliczania podanej objętości i prezentacją wartości na ekranie urządzenia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EF283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24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Dokładność mechanizmu pompy +/- 1%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EF2838">
        <w:trPr>
          <w:cantSplit/>
          <w:trHeight w:val="851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25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autoSpaceDE w:val="0"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Wypełnienie linii 3 tryby </w:t>
            </w:r>
          </w:p>
          <w:p w:rsidR="00FC130B" w:rsidRPr="00F81640" w:rsidRDefault="00FC130B" w:rsidP="00FC130B">
            <w:pPr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/>
              <w:spacing w:after="51"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Obowiązkowy </w:t>
            </w:r>
          </w:p>
          <w:p w:rsidR="00FC130B" w:rsidRPr="00F81640" w:rsidRDefault="00FC130B" w:rsidP="00FC130B">
            <w:pPr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/>
              <w:spacing w:after="51"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Nieobowiązkowy </w:t>
            </w:r>
          </w:p>
          <w:p w:rsidR="00FC130B" w:rsidRPr="00F81640" w:rsidRDefault="00FC130B" w:rsidP="00FC130B">
            <w:pPr>
              <w:numPr>
                <w:ilvl w:val="0"/>
                <w:numId w:val="22"/>
              </w:numPr>
              <w:tabs>
                <w:tab w:val="left" w:pos="0"/>
              </w:tabs>
              <w:autoSpaceDE w:val="0"/>
              <w:autoSpaceDN/>
              <w:jc w:val="both"/>
              <w:textAlignment w:val="auto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Zalecany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EF283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26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Funkcja programowania objętości do podania (VTBD) 0,1- 999 ml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EF283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27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val="pl"/>
              </w:rPr>
              <w:t>Funkcja programowania czasu infuzji przynajmniej od 1min – 96 godzin.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EF2838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28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val="pl"/>
              </w:rPr>
              <w:t>Dawka inicjująca. Dawka lub objętość/ czas: 0,01-9999 jednostek /1sekundy – 24 godzin, automatyczne obliczanie infuzji.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0B127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val="pl"/>
              </w:rPr>
              <w:t>Ciągły pomiar ciśnienia w linii zobrazowany w postaci piktogramu na ekranie pompy.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0B127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val="pl"/>
              </w:rPr>
              <w:t xml:space="preserve">Ustawianie poziomu ciśnienia okluzji – min. 20 poziomów, min. 3 jednostki do wyboru – mmHg, </w:t>
            </w:r>
            <w:proofErr w:type="spellStart"/>
            <w:r w:rsidRPr="00F81640">
              <w:rPr>
                <w:rFonts w:eastAsia="Calibri"/>
                <w:color w:val="000000"/>
                <w:sz w:val="22"/>
                <w:szCs w:val="22"/>
                <w:lang w:val="pl"/>
              </w:rPr>
              <w:t>kPa</w:t>
            </w:r>
            <w:proofErr w:type="spellEnd"/>
            <w:r w:rsidRPr="00F81640">
              <w:rPr>
                <w:rFonts w:eastAsia="Calibri"/>
                <w:color w:val="000000"/>
                <w:sz w:val="22"/>
                <w:szCs w:val="22"/>
                <w:lang w:val="pl"/>
              </w:rPr>
              <w:t>, PSI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0B127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en-US"/>
              </w:rPr>
            </w:pPr>
            <w:proofErr w:type="spellStart"/>
            <w:r w:rsidRPr="00F81640">
              <w:rPr>
                <w:rFonts w:eastAsia="Calibri"/>
                <w:color w:val="000000"/>
                <w:sz w:val="22"/>
                <w:szCs w:val="22"/>
                <w:lang w:val="en-US"/>
              </w:rPr>
              <w:t>Funkcja</w:t>
            </w:r>
            <w:proofErr w:type="spellEnd"/>
            <w:r w:rsidRPr="00F81640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KVO (Keep Vein Open).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0B1275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autoSpaceDE w:val="0"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Zróżnicowana prędkość KVO z możliwością programowania szybkości </w:t>
            </w:r>
          </w:p>
          <w:p w:rsidR="00FC130B" w:rsidRPr="00F81640" w:rsidRDefault="00FC130B" w:rsidP="00FC130B">
            <w:pPr>
              <w:numPr>
                <w:ilvl w:val="0"/>
                <w:numId w:val="23"/>
              </w:numPr>
              <w:tabs>
                <w:tab w:val="left" w:pos="0"/>
              </w:tabs>
              <w:autoSpaceDE w:val="0"/>
              <w:autoSpaceDN/>
              <w:spacing w:after="51"/>
              <w:jc w:val="both"/>
              <w:textAlignment w:val="auto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od 0,1 do 5 ml/h </w:t>
            </w:r>
          </w:p>
          <w:p w:rsidR="00FC130B" w:rsidRPr="00F81640" w:rsidRDefault="00FC130B" w:rsidP="00FC130B">
            <w:pPr>
              <w:numPr>
                <w:ilvl w:val="0"/>
                <w:numId w:val="23"/>
              </w:numPr>
              <w:tabs>
                <w:tab w:val="left" w:pos="0"/>
              </w:tabs>
              <w:autoSpaceDE w:val="0"/>
              <w:autoSpaceDN/>
              <w:jc w:val="both"/>
              <w:textAlignment w:val="auto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zapis ustawień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D83A3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val="pl"/>
              </w:rPr>
              <w:t>Sygnalizacja wahań ciśnienia w linii pozwalająca przewidzieć niebezpieczeństwo pojawienia się okluzji lub nieszczelności.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D83A3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81640">
              <w:rPr>
                <w:rFonts w:eastAsia="Calibri"/>
                <w:bCs/>
                <w:color w:val="000000"/>
                <w:sz w:val="22"/>
                <w:szCs w:val="22"/>
                <w:lang w:val="pl"/>
              </w:rPr>
              <w:t>Rejestr na 1500 zdarzeń zapisywany w czasie rzeczywistym.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D83A3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81640">
              <w:rPr>
                <w:rFonts w:eastAsia="Calibri"/>
                <w:bCs/>
                <w:color w:val="000000"/>
                <w:sz w:val="22"/>
                <w:szCs w:val="22"/>
                <w:lang w:val="pl"/>
              </w:rPr>
              <w:t>Funkcja – przerwa (</w:t>
            </w:r>
            <w:proofErr w:type="spellStart"/>
            <w:r w:rsidRPr="00F81640">
              <w:rPr>
                <w:rFonts w:eastAsia="Calibri"/>
                <w:bCs/>
                <w:color w:val="000000"/>
                <w:sz w:val="22"/>
                <w:szCs w:val="22"/>
                <w:lang w:val="pl"/>
              </w:rPr>
              <w:t>standby</w:t>
            </w:r>
            <w:proofErr w:type="spellEnd"/>
            <w:r w:rsidRPr="00F81640">
              <w:rPr>
                <w:rFonts w:eastAsia="Calibri"/>
                <w:bCs/>
                <w:color w:val="000000"/>
                <w:sz w:val="22"/>
                <w:szCs w:val="22"/>
                <w:lang w:val="pl"/>
              </w:rPr>
              <w:t>) w zakresie od 1min do 24 godzin programowany co 1 minutę z funkcją automatycznego startu infuzji po zaprogramowanej przerwie.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D83A31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81640">
              <w:rPr>
                <w:rFonts w:eastAsia="Calibri"/>
                <w:bCs/>
                <w:color w:val="000000"/>
                <w:sz w:val="22"/>
                <w:szCs w:val="22"/>
                <w:lang w:val="pl"/>
              </w:rPr>
              <w:t>Specjalny sposób wyświetlania parametrów dostosowany do pracy przy słabym oświetleniu (tzw. Tryb nocny).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C130B" w:rsidP="00FC130B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D5794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81640">
              <w:rPr>
                <w:rFonts w:eastAsia="Calibri"/>
                <w:bCs/>
                <w:color w:val="000000"/>
                <w:sz w:val="22"/>
                <w:szCs w:val="22"/>
                <w:lang w:val="pl"/>
              </w:rPr>
              <w:t>Wskaźnik pracy pompy widoczne z min.4 metrów.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81640" w:rsidP="00FC130B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D5794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81640">
              <w:rPr>
                <w:rFonts w:eastAsia="Calibri"/>
                <w:bCs/>
                <w:color w:val="000000"/>
                <w:sz w:val="22"/>
                <w:szCs w:val="22"/>
                <w:lang w:val="pl"/>
              </w:rPr>
              <w:t>Klawiatura symboliczna.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81640" w:rsidP="00FC130B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D5794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81640">
              <w:rPr>
                <w:rFonts w:eastAsia="Calibri"/>
                <w:bCs/>
                <w:color w:val="000000"/>
                <w:sz w:val="22"/>
                <w:szCs w:val="22"/>
                <w:lang w:val="pl"/>
              </w:rPr>
              <w:t>Komunikaty tekstowe w języku polskim.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81640" w:rsidP="00FC130B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D5794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ind w:firstLine="126"/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81640">
              <w:rPr>
                <w:rFonts w:eastAsia="Calibri"/>
                <w:bCs/>
                <w:color w:val="000000"/>
                <w:sz w:val="22"/>
                <w:szCs w:val="22"/>
                <w:lang w:val="pl"/>
              </w:rPr>
              <w:t xml:space="preserve">Funkcja wyświetlania trendów objętości, szybkości infuzji oraz ciśnienia.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81640" w:rsidP="00FC130B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D5794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autoSpaceDE w:val="0"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bCs/>
                <w:color w:val="000000"/>
                <w:sz w:val="22"/>
                <w:szCs w:val="22"/>
                <w:lang w:eastAsia="ar-SA"/>
              </w:rPr>
              <w:t>Wbudowana w pompę możliwość dopasowana ustawień oraz zawartości menu do potrzeb oddziału.</w:t>
            </w:r>
          </w:p>
          <w:p w:rsidR="00FC130B" w:rsidRPr="00F81640" w:rsidRDefault="00FC130B" w:rsidP="00FC130B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Biblioteka leków, min. 100 leków wraz w 15 profilach z protokołami infuzji (domyślne przepływy, dawki, prędkości bolusa, stężenia itp.)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81640" w:rsidP="00FC130B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130B" w:rsidRPr="009862CA" w:rsidTr="00D5794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81640" w:rsidP="00FC130B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F81640" w:rsidRDefault="00FC130B" w:rsidP="00FC130B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81640">
              <w:rPr>
                <w:rFonts w:eastAsia="Calibri"/>
                <w:bCs/>
                <w:color w:val="000000"/>
                <w:sz w:val="22"/>
                <w:szCs w:val="22"/>
                <w:lang w:val="pl"/>
              </w:rPr>
              <w:t>Akustyczno-optyczny system alarmów i ostrzeżeń.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30B" w:rsidRPr="003403E2" w:rsidRDefault="00F81640" w:rsidP="00FC130B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0B" w:rsidRPr="003403E2" w:rsidRDefault="00FC130B" w:rsidP="00FC130B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40" w:rsidRPr="009862CA" w:rsidTr="00A06F7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81640" w:rsidRDefault="00F81640" w:rsidP="00F81640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val="pl"/>
              </w:rPr>
              <w:t>Alarm pustej strzykawki.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3403E2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40" w:rsidRPr="009862CA" w:rsidTr="00A06F7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81640" w:rsidRDefault="00F81640" w:rsidP="00F81640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val="pl"/>
              </w:rPr>
              <w:t>Alarm przypominający –zatrzymana infuzja.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3403E2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40" w:rsidRPr="009862CA" w:rsidTr="00A06F7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81640" w:rsidRDefault="00F81640" w:rsidP="00F81640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val="pl"/>
              </w:rPr>
              <w:t>Alarm okluzji.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3403E2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40" w:rsidRPr="009862CA" w:rsidTr="00A06F7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81640" w:rsidRDefault="00F81640" w:rsidP="00F81640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81640">
              <w:rPr>
                <w:rFonts w:eastAsia="Calibri"/>
                <w:bCs/>
                <w:color w:val="000000"/>
                <w:sz w:val="22"/>
                <w:szCs w:val="22"/>
                <w:lang w:val="pl"/>
              </w:rPr>
              <w:t>Alarm rozłączenia linii – spadku ciśnienia.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3403E2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40" w:rsidRPr="009862CA" w:rsidTr="00A06F7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81640" w:rsidRDefault="00F81640" w:rsidP="00F81640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81640">
              <w:rPr>
                <w:rFonts w:eastAsia="Calibri"/>
                <w:bCs/>
                <w:color w:val="000000"/>
                <w:sz w:val="22"/>
                <w:szCs w:val="22"/>
                <w:lang w:val="pl"/>
              </w:rPr>
              <w:t>Alarm rozładowanego akumulatora.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3403E2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40" w:rsidRPr="009862CA" w:rsidTr="00A06F7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81640" w:rsidRDefault="00F81640" w:rsidP="00F81640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81640">
              <w:rPr>
                <w:rFonts w:eastAsia="Calibri"/>
                <w:bCs/>
                <w:color w:val="000000"/>
                <w:sz w:val="22"/>
                <w:szCs w:val="22"/>
                <w:lang w:val="pl"/>
              </w:rPr>
              <w:t>Alarm braku lub źle założonej strzykawki.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3403E2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40" w:rsidRPr="009862CA" w:rsidTr="00A06F7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81640" w:rsidRDefault="00F81640" w:rsidP="00F81640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81640">
              <w:rPr>
                <w:rFonts w:eastAsia="Calibri"/>
                <w:bCs/>
                <w:color w:val="000000"/>
                <w:sz w:val="22"/>
                <w:szCs w:val="22"/>
                <w:lang w:val="pl"/>
              </w:rPr>
              <w:t>Alarm otwartego uchwytu komory strzykawki.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3403E2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40" w:rsidRPr="009862CA" w:rsidTr="00A06F7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81640" w:rsidRDefault="00F81640" w:rsidP="00F81640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81640">
              <w:rPr>
                <w:rFonts w:eastAsia="Calibri"/>
                <w:bCs/>
                <w:color w:val="000000"/>
                <w:sz w:val="22"/>
                <w:szCs w:val="22"/>
                <w:lang w:val="pl"/>
              </w:rPr>
              <w:t>Alarm informujący o uszkodzeniu urządzenia.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3403E2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40" w:rsidRPr="009862CA" w:rsidTr="00A06F7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81640" w:rsidRDefault="00F81640" w:rsidP="00F81640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val="pl"/>
              </w:rPr>
              <w:t>Alarm wstępny zbliżającego się rozładowania akumulatora.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3403E2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40" w:rsidRPr="009862CA" w:rsidTr="00A06F7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81640" w:rsidRDefault="00F81640" w:rsidP="00F81640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Alarm wstępny przed opróżnieniem strzykawki.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3403E2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40" w:rsidRPr="009862CA" w:rsidTr="00A06F7A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81640" w:rsidRDefault="00F81640" w:rsidP="00F81640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Alarm wstępny przed końcem infuzji. 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3403E2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40" w:rsidRPr="009862CA" w:rsidTr="00D24FC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81640" w:rsidRDefault="00F81640" w:rsidP="00F81640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>Możliwość transmisji danych z pompy, możliwość połączenia w sieć z komputerem centralnym samodzielnie lub przez stację dokującą.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3403E2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40" w:rsidRPr="009862CA" w:rsidTr="00D24FC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81640" w:rsidRDefault="00F81640" w:rsidP="00F81640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>Możliwość łączenia pomp w moduły po 2 lub 3 sztuki bez użycia dodatkowych elementów.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  <w:r w:rsidR="0046739F">
              <w:rPr>
                <w:sz w:val="22"/>
                <w:szCs w:val="22"/>
              </w:rPr>
              <w:t>, podać</w:t>
            </w:r>
            <w:bookmarkStart w:id="0" w:name="_GoBack"/>
            <w:bookmarkEnd w:id="0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3403E2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40" w:rsidRPr="009862CA" w:rsidTr="00D24FC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81640" w:rsidRDefault="00F81640" w:rsidP="00F81640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Zasilanie sieciowe zgodne z warunkami obowiązującymi w Polsce, AC 230 V 50 </w:t>
            </w:r>
            <w:proofErr w:type="spellStart"/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>Hz</w:t>
            </w:r>
            <w:proofErr w:type="spellEnd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  <w:r w:rsidR="0046739F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3403E2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40" w:rsidRPr="009862CA" w:rsidTr="00D24FC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81640" w:rsidRDefault="00F81640" w:rsidP="0046739F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>Ochrona przed wilgocią min IP 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  <w:r w:rsidR="0046739F"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3403E2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40" w:rsidRPr="009862CA" w:rsidTr="00D24FC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81640" w:rsidRDefault="00F81640" w:rsidP="00F81640">
            <w:pPr>
              <w:autoSpaceDE w:val="0"/>
              <w:jc w:val="both"/>
              <w:rPr>
                <w:rFonts w:eastAsia="Arial Unicode MS"/>
                <w:color w:val="000000"/>
                <w:sz w:val="22"/>
                <w:szCs w:val="22"/>
                <w:lang w:eastAsia="ar-SA"/>
              </w:rPr>
            </w:pPr>
            <w:r w:rsidRPr="00F81640">
              <w:rPr>
                <w:rFonts w:eastAsia="Calibri"/>
                <w:color w:val="000000"/>
                <w:sz w:val="22"/>
                <w:szCs w:val="22"/>
                <w:lang w:eastAsia="ar-SA"/>
              </w:rPr>
              <w:t>Klasa ochronności zgodnie z IEC/EN60601-1 : Klasa II, typ CF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3403E2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40" w:rsidRPr="009862CA" w:rsidTr="00D24FC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81640" w:rsidRDefault="00F81640" w:rsidP="00F81640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81640">
              <w:rPr>
                <w:rFonts w:eastAsia="Arial Unicode MS"/>
                <w:color w:val="000000"/>
                <w:sz w:val="22"/>
                <w:szCs w:val="22"/>
                <w:lang w:val="pl"/>
              </w:rPr>
              <w:t>Pompa wyposażona w tryb wlewu TCI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3403E2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40" w:rsidRPr="009862CA" w:rsidTr="00D24FC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81640" w:rsidRDefault="00F81640" w:rsidP="00F81640">
            <w:pPr>
              <w:jc w:val="both"/>
              <w:rPr>
                <w:rFonts w:eastAsia="Arial Unicode MS"/>
                <w:color w:val="000000"/>
                <w:sz w:val="22"/>
                <w:szCs w:val="22"/>
                <w:lang w:val="pl"/>
              </w:rPr>
            </w:pPr>
            <w:r w:rsidRPr="00F81640">
              <w:rPr>
                <w:rFonts w:eastAsia="Arial Unicode MS"/>
                <w:color w:val="000000"/>
                <w:sz w:val="22"/>
                <w:szCs w:val="22"/>
                <w:lang w:val="pl"/>
              </w:rPr>
              <w:t xml:space="preserve">Tryb TCI z modelami farmakokinetycznymi dla </w:t>
            </w:r>
            <w:proofErr w:type="spellStart"/>
            <w:r w:rsidRPr="00F81640">
              <w:rPr>
                <w:rFonts w:eastAsia="Arial Unicode MS"/>
                <w:color w:val="000000"/>
                <w:sz w:val="22"/>
                <w:szCs w:val="22"/>
                <w:lang w:val="pl"/>
              </w:rPr>
              <w:t>Propofolu</w:t>
            </w:r>
            <w:proofErr w:type="spellEnd"/>
            <w:r w:rsidRPr="00F81640">
              <w:rPr>
                <w:rFonts w:eastAsia="Arial Unicode MS"/>
                <w:color w:val="000000"/>
                <w:sz w:val="22"/>
                <w:szCs w:val="22"/>
                <w:lang w:val="pl"/>
              </w:rPr>
              <w:t xml:space="preserve">, </w:t>
            </w:r>
            <w:proofErr w:type="spellStart"/>
            <w:r w:rsidRPr="00F81640">
              <w:rPr>
                <w:rFonts w:eastAsia="Arial Unicode MS"/>
                <w:color w:val="000000"/>
                <w:sz w:val="22"/>
                <w:szCs w:val="22"/>
                <w:lang w:val="pl"/>
              </w:rPr>
              <w:t>Remifentanilu</w:t>
            </w:r>
            <w:proofErr w:type="spellEnd"/>
            <w:r w:rsidRPr="00F81640">
              <w:rPr>
                <w:rFonts w:eastAsia="Arial Unicode MS"/>
                <w:color w:val="000000"/>
                <w:sz w:val="22"/>
                <w:szCs w:val="22"/>
                <w:lang w:val="pl"/>
              </w:rPr>
              <w:t xml:space="preserve">, </w:t>
            </w:r>
            <w:proofErr w:type="spellStart"/>
            <w:r w:rsidRPr="00F81640">
              <w:rPr>
                <w:rFonts w:eastAsia="Arial Unicode MS"/>
                <w:color w:val="000000"/>
                <w:sz w:val="22"/>
                <w:szCs w:val="22"/>
                <w:lang w:val="pl"/>
              </w:rPr>
              <w:t>Sufentanilu</w:t>
            </w:r>
            <w:proofErr w:type="spellEnd"/>
            <w:r w:rsidRPr="00F81640">
              <w:rPr>
                <w:rFonts w:eastAsia="Arial Unicode MS"/>
                <w:color w:val="000000"/>
                <w:sz w:val="22"/>
                <w:szCs w:val="22"/>
                <w:lang w:val="pl"/>
              </w:rPr>
              <w:t xml:space="preserve"> i </w:t>
            </w:r>
            <w:proofErr w:type="spellStart"/>
            <w:r w:rsidRPr="00F81640">
              <w:rPr>
                <w:rFonts w:eastAsia="Arial Unicode MS"/>
                <w:color w:val="000000"/>
                <w:sz w:val="22"/>
                <w:szCs w:val="22"/>
                <w:lang w:val="pl"/>
              </w:rPr>
              <w:t>Alfentanilu</w:t>
            </w:r>
            <w:proofErr w:type="spellEnd"/>
            <w:r w:rsidRPr="00F81640">
              <w:rPr>
                <w:rFonts w:eastAsia="Arial Unicode MS"/>
                <w:color w:val="000000"/>
                <w:sz w:val="22"/>
                <w:szCs w:val="22"/>
                <w:lang w:val="pl"/>
              </w:rPr>
              <w:t>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3403E2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40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F81640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F81640">
              <w:rPr>
                <w:rFonts w:ascii="Times New Roman" w:hAnsi="Times New Roman"/>
                <w:color w:val="auto"/>
              </w:rPr>
              <w:t xml:space="preserve">Instrukcja obsługi urządzenia w języku polskim – załączyć przy dostawie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3403E2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40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81640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81640">
              <w:rPr>
                <w:rFonts w:ascii="Times New Roman" w:hAnsi="Times New Roman"/>
              </w:rPr>
              <w:t>Karta gwarancyjna – załączyć do dostawy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ind w:left="5"/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3403E2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1640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F81640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81640">
              <w:rPr>
                <w:rFonts w:ascii="Times New Roman" w:hAnsi="Times New Roman"/>
              </w:rPr>
              <w:t>Okres pełnej gwarancji – min. 24 miesiące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40" w:rsidRPr="003403E2" w:rsidRDefault="00F81640" w:rsidP="00F81640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40" w:rsidRPr="003403E2" w:rsidRDefault="00F81640" w:rsidP="00F81640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BC3B6A">
              <w:rPr>
                <w:rFonts w:ascii="Times New Roman" w:hAnsi="Times New Roman"/>
                <w:i/>
                <w:color w:val="FF0000"/>
              </w:rPr>
              <w:t>(dodatkowy okres gwarancji będzie punktowany zgodnie z kryterium oceny ofert opisanym pkt.38 SWZ.)</w:t>
            </w:r>
          </w:p>
        </w:tc>
      </w:tr>
    </w:tbl>
    <w:p w:rsidR="00C84146" w:rsidRPr="009862CA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C84146" w:rsidRPr="009862CA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F06C3C" w:rsidRDefault="00C84146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:rsidR="00C84146" w:rsidRPr="00F06C3C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DB6BAB" w:rsidRPr="009862CA" w:rsidRDefault="00C84146" w:rsidP="00F06C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9862CA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832" w:rsidRDefault="00DD7832" w:rsidP="00E67BE7">
      <w:r>
        <w:separator/>
      </w:r>
    </w:p>
  </w:endnote>
  <w:endnote w:type="continuationSeparator" w:id="0">
    <w:p w:rsidR="00DD7832" w:rsidRDefault="00DD7832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39F">
          <w:rPr>
            <w:noProof/>
          </w:rPr>
          <w:t>3</w:t>
        </w:r>
        <w:r>
          <w:fldChar w:fldCharType="end"/>
        </w:r>
      </w:p>
    </w:sdtContent>
  </w:sdt>
  <w:p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832" w:rsidRDefault="00DD7832" w:rsidP="00E67BE7">
      <w:r>
        <w:separator/>
      </w:r>
    </w:p>
  </w:footnote>
  <w:footnote w:type="continuationSeparator" w:id="0">
    <w:p w:rsidR="00DD7832" w:rsidRDefault="00DD7832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26" w:rsidRDefault="00964426" w:rsidP="00354EDB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editId="6366DB6B">
          <wp:simplePos x="0" y="0"/>
          <wp:positionH relativeFrom="rightMargin">
            <wp:align>left</wp:align>
          </wp:positionH>
          <wp:positionV relativeFrom="paragraph">
            <wp:posOffset>-392537</wp:posOffset>
          </wp:positionV>
          <wp:extent cx="800100" cy="734060"/>
          <wp:effectExtent l="0" t="0" r="0" b="8890"/>
          <wp:wrapNone/>
          <wp:docPr id="1" name="Obraz 1" descr="WSZ LOGO_v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 LOGO_v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06E" w:rsidRDefault="00EF0D98" w:rsidP="00354EDB">
    <w:pPr>
      <w:pStyle w:val="Nagwek"/>
      <w:jc w:val="center"/>
    </w:pPr>
    <w:r w:rsidRPr="004A392B">
      <w:rPr>
        <w:sz w:val="16"/>
        <w:szCs w:val="16"/>
      </w:rPr>
      <w:t xml:space="preserve">Postępowanie w ramach realizacji zadania pn. </w:t>
    </w:r>
    <w:r w:rsidRPr="004A392B">
      <w:rPr>
        <w:i/>
        <w:sz w:val="16"/>
        <w:szCs w:val="16"/>
      </w:rPr>
      <w:t>„</w:t>
    </w:r>
    <w:r w:rsidR="00D40B7D">
      <w:rPr>
        <w:i/>
        <w:sz w:val="16"/>
        <w:szCs w:val="16"/>
      </w:rPr>
      <w:t xml:space="preserve">Dostosowanie pomieszczeń Kliniki Anestezjologii i Intensywnej Terapii </w:t>
    </w:r>
    <w:r w:rsidR="00C22CFC">
      <w:rPr>
        <w:i/>
        <w:sz w:val="16"/>
        <w:szCs w:val="16"/>
      </w:rPr>
      <w:t xml:space="preserve">Wojewódzkiego </w:t>
    </w:r>
    <w:r w:rsidRPr="004A392B">
      <w:rPr>
        <w:i/>
        <w:sz w:val="16"/>
        <w:szCs w:val="16"/>
      </w:rPr>
      <w:t xml:space="preserve"> Szpitala Zespolonego w Kielcach</w:t>
    </w:r>
    <w:r w:rsidRPr="004A392B">
      <w:rPr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308BE"/>
    <w:multiLevelType w:val="hybridMultilevel"/>
    <w:tmpl w:val="D2B4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8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3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E0730"/>
    <w:multiLevelType w:val="hybridMultilevel"/>
    <w:tmpl w:val="FC68C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15B0749"/>
    <w:multiLevelType w:val="hybridMultilevel"/>
    <w:tmpl w:val="B412B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7"/>
  </w:num>
  <w:num w:numId="12">
    <w:abstractNumId w:val="21"/>
  </w:num>
  <w:num w:numId="13">
    <w:abstractNumId w:val="0"/>
  </w:num>
  <w:num w:numId="14">
    <w:abstractNumId w:val="14"/>
  </w:num>
  <w:num w:numId="15">
    <w:abstractNumId w:val="13"/>
  </w:num>
  <w:num w:numId="16">
    <w:abstractNumId w:val="5"/>
  </w:num>
  <w:num w:numId="17">
    <w:abstractNumId w:val="19"/>
  </w:num>
  <w:num w:numId="18">
    <w:abstractNumId w:val="15"/>
  </w:num>
  <w:num w:numId="19">
    <w:abstractNumId w:val="3"/>
  </w:num>
  <w:num w:numId="20">
    <w:abstractNumId w:val="12"/>
  </w:num>
  <w:num w:numId="21">
    <w:abstractNumId w:val="20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1BA0"/>
    <w:rsid w:val="0001645E"/>
    <w:rsid w:val="00042916"/>
    <w:rsid w:val="00053357"/>
    <w:rsid w:val="00070A22"/>
    <w:rsid w:val="000826B6"/>
    <w:rsid w:val="00097153"/>
    <w:rsid w:val="000B4926"/>
    <w:rsid w:val="000C3530"/>
    <w:rsid w:val="000F44E7"/>
    <w:rsid w:val="00111F50"/>
    <w:rsid w:val="001277FA"/>
    <w:rsid w:val="0013422F"/>
    <w:rsid w:val="001409C3"/>
    <w:rsid w:val="00146234"/>
    <w:rsid w:val="001502B1"/>
    <w:rsid w:val="001517F9"/>
    <w:rsid w:val="0016362B"/>
    <w:rsid w:val="001D206E"/>
    <w:rsid w:val="001F12F9"/>
    <w:rsid w:val="00210CD1"/>
    <w:rsid w:val="00212EB5"/>
    <w:rsid w:val="002152CA"/>
    <w:rsid w:val="00230FD5"/>
    <w:rsid w:val="00234BE2"/>
    <w:rsid w:val="002424E0"/>
    <w:rsid w:val="00243DFD"/>
    <w:rsid w:val="0026716A"/>
    <w:rsid w:val="002701A2"/>
    <w:rsid w:val="00283A6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332670"/>
    <w:rsid w:val="003403E2"/>
    <w:rsid w:val="00354EDB"/>
    <w:rsid w:val="00373CF2"/>
    <w:rsid w:val="003869A8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429C"/>
    <w:rsid w:val="00446379"/>
    <w:rsid w:val="004474F5"/>
    <w:rsid w:val="0046739F"/>
    <w:rsid w:val="0047651F"/>
    <w:rsid w:val="004879A4"/>
    <w:rsid w:val="004932E8"/>
    <w:rsid w:val="004952B3"/>
    <w:rsid w:val="004E2967"/>
    <w:rsid w:val="004F4D45"/>
    <w:rsid w:val="00502227"/>
    <w:rsid w:val="00507FFD"/>
    <w:rsid w:val="00552012"/>
    <w:rsid w:val="00582663"/>
    <w:rsid w:val="00587DF4"/>
    <w:rsid w:val="005D1585"/>
    <w:rsid w:val="00613C96"/>
    <w:rsid w:val="00627C95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B58AE"/>
    <w:rsid w:val="006C7268"/>
    <w:rsid w:val="006D0C1C"/>
    <w:rsid w:val="006D3979"/>
    <w:rsid w:val="006E237A"/>
    <w:rsid w:val="006E4C2E"/>
    <w:rsid w:val="006F6265"/>
    <w:rsid w:val="006F62EE"/>
    <w:rsid w:val="00716AAA"/>
    <w:rsid w:val="00726057"/>
    <w:rsid w:val="00743678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084D"/>
    <w:rsid w:val="00861015"/>
    <w:rsid w:val="00862CD6"/>
    <w:rsid w:val="00867362"/>
    <w:rsid w:val="00876541"/>
    <w:rsid w:val="00877D7B"/>
    <w:rsid w:val="008A15FF"/>
    <w:rsid w:val="008D3C53"/>
    <w:rsid w:val="008E45BE"/>
    <w:rsid w:val="008F3945"/>
    <w:rsid w:val="008F5400"/>
    <w:rsid w:val="00902A70"/>
    <w:rsid w:val="00903A99"/>
    <w:rsid w:val="0091787A"/>
    <w:rsid w:val="00923A22"/>
    <w:rsid w:val="00930A3B"/>
    <w:rsid w:val="0096034D"/>
    <w:rsid w:val="009604D8"/>
    <w:rsid w:val="00964426"/>
    <w:rsid w:val="009654CD"/>
    <w:rsid w:val="00976CC2"/>
    <w:rsid w:val="009862CA"/>
    <w:rsid w:val="009933BB"/>
    <w:rsid w:val="00993C45"/>
    <w:rsid w:val="009C22C9"/>
    <w:rsid w:val="009F2611"/>
    <w:rsid w:val="00A04EBB"/>
    <w:rsid w:val="00A217B5"/>
    <w:rsid w:val="00A36A55"/>
    <w:rsid w:val="00A427C9"/>
    <w:rsid w:val="00A50D2F"/>
    <w:rsid w:val="00A617C1"/>
    <w:rsid w:val="00A75F05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B1469"/>
    <w:rsid w:val="00BC3B6A"/>
    <w:rsid w:val="00C059EB"/>
    <w:rsid w:val="00C22CFC"/>
    <w:rsid w:val="00C312FB"/>
    <w:rsid w:val="00C43DC0"/>
    <w:rsid w:val="00C441AE"/>
    <w:rsid w:val="00C52556"/>
    <w:rsid w:val="00C84146"/>
    <w:rsid w:val="00CA029C"/>
    <w:rsid w:val="00CC0EC3"/>
    <w:rsid w:val="00CD6898"/>
    <w:rsid w:val="00CE5FC0"/>
    <w:rsid w:val="00CF275D"/>
    <w:rsid w:val="00D119D1"/>
    <w:rsid w:val="00D14830"/>
    <w:rsid w:val="00D335D6"/>
    <w:rsid w:val="00D33801"/>
    <w:rsid w:val="00D40B7D"/>
    <w:rsid w:val="00D55758"/>
    <w:rsid w:val="00D561E1"/>
    <w:rsid w:val="00D6227F"/>
    <w:rsid w:val="00DA01F0"/>
    <w:rsid w:val="00DA59BD"/>
    <w:rsid w:val="00DB6BAB"/>
    <w:rsid w:val="00DD7832"/>
    <w:rsid w:val="00DE0BEF"/>
    <w:rsid w:val="00E024DC"/>
    <w:rsid w:val="00E033CE"/>
    <w:rsid w:val="00E23F52"/>
    <w:rsid w:val="00E53110"/>
    <w:rsid w:val="00E67BE7"/>
    <w:rsid w:val="00E72B3C"/>
    <w:rsid w:val="00EA412B"/>
    <w:rsid w:val="00EE2FEF"/>
    <w:rsid w:val="00EF0D98"/>
    <w:rsid w:val="00EF1D57"/>
    <w:rsid w:val="00F06C3C"/>
    <w:rsid w:val="00F17701"/>
    <w:rsid w:val="00F321B8"/>
    <w:rsid w:val="00F328A4"/>
    <w:rsid w:val="00F40111"/>
    <w:rsid w:val="00F43360"/>
    <w:rsid w:val="00F52D6D"/>
    <w:rsid w:val="00F60176"/>
    <w:rsid w:val="00F71FE4"/>
    <w:rsid w:val="00F757FA"/>
    <w:rsid w:val="00F81640"/>
    <w:rsid w:val="00FC130B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E7803-E1A7-4658-A72B-01D9FCD8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4</cp:revision>
  <cp:lastPrinted>2022-03-22T10:09:00Z</cp:lastPrinted>
  <dcterms:created xsi:type="dcterms:W3CDTF">2022-04-21T09:01:00Z</dcterms:created>
  <dcterms:modified xsi:type="dcterms:W3CDTF">2022-04-21T09:51:00Z</dcterms:modified>
</cp:coreProperties>
</file>