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B7" w:rsidRDefault="00D143B7" w:rsidP="00D143B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l-PL"/>
        </w:rPr>
      </w:pPr>
      <w:r w:rsidRPr="00C71FFE">
        <w:rPr>
          <w:rFonts w:ascii="Arial" w:eastAsia="Times New Roman" w:hAnsi="Arial" w:cs="Arial"/>
          <w:sz w:val="20"/>
          <w:szCs w:val="20"/>
          <w:lang w:eastAsia="pl-PL"/>
        </w:rPr>
        <w:t>    </w:t>
      </w:r>
    </w:p>
    <w:p w:rsidR="00B22F86" w:rsidRPr="00AE1415" w:rsidRDefault="00B22F86" w:rsidP="00B22F86">
      <w:pPr>
        <w:spacing w:after="0" w:line="240" w:lineRule="auto"/>
        <w:jc w:val="right"/>
        <w:rPr>
          <w:b/>
          <w:bCs/>
          <w:lang w:eastAsia="zh-CN"/>
        </w:rPr>
      </w:pPr>
    </w:p>
    <w:p w:rsidR="00793141" w:rsidRDefault="00793141" w:rsidP="00793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WYMAGANYCH PARAMETRÓW TECHNICZNYCH</w:t>
      </w:r>
    </w:p>
    <w:p w:rsidR="00793141" w:rsidRDefault="00793141" w:rsidP="007931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TOMOGRAF KOMPUTEROWY WIELORZĘDOWY</w:t>
      </w:r>
    </w:p>
    <w:p w:rsidR="00CD7C29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B7A">
        <w:rPr>
          <w:rFonts w:ascii="Times New Roman" w:hAnsi="Times New Roman" w:cs="Times New Roman"/>
          <w:sz w:val="24"/>
          <w:szCs w:val="24"/>
        </w:rPr>
        <w:t>Producent/Firma:</w:t>
      </w:r>
      <w:r w:rsidR="0059088E" w:rsidRPr="0055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41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Nazwa/Typ aparatu:</w:t>
      </w:r>
      <w:r w:rsidR="0059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41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  <w:r w:rsidR="0059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A2" w:rsidRPr="00C71FFE" w:rsidRDefault="009541A2" w:rsidP="009541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FF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48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559"/>
        <w:gridCol w:w="2045"/>
        <w:gridCol w:w="2664"/>
        <w:gridCol w:w="3330"/>
      </w:tblGrid>
      <w:tr w:rsidR="00456FBD" w:rsidRPr="00CD7C29" w:rsidTr="007D6FA0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Parametr/wymaganie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graniczna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Ocena punktowa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</w:tr>
      <w:tr w:rsidR="009541A2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Tomograf komputerowy z wyposażeniem</w:t>
            </w:r>
          </w:p>
        </w:tc>
      </w:tr>
      <w:tr w:rsidR="00456FBD" w:rsidRPr="00CD7C29" w:rsidTr="007D6FA0">
        <w:trPr>
          <w:trHeight w:val="4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456FBD" w:rsidRDefault="009541A2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D7C29" w:rsidRDefault="009541A2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oraz wszystkie elementy składowe – fabrycznie nowe, rok produkcji 20</w:t>
            </w:r>
            <w:r w:rsidR="00CD7C29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D7C29" w:rsidRDefault="00385336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FA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1A2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Gantry</w:t>
            </w:r>
            <w:proofErr w:type="spellEnd"/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stół</w:t>
            </w:r>
          </w:p>
        </w:tc>
      </w:tr>
      <w:tr w:rsidR="00456FBD" w:rsidRPr="00CD7C29" w:rsidTr="007D6FA0">
        <w:trPr>
          <w:trHeight w:val="68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3E32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System zapewniający (w trakcie jednego pełnego obrotu układu lampa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</w:rPr>
              <w:t>rtg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 – detektor) akwizycję minimum 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 warstw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 xml:space="preserve"> (w przypadku systemu dwudetektorowego podać sumę warstw)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2379D1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FBD" w:rsidRPr="00CD7C29" w:rsidRDefault="00456FBD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Maksymalna </w:t>
            </w:r>
            <w:r w:rsidR="00385336">
              <w:rPr>
                <w:rFonts w:ascii="Arial" w:eastAsia="Times New Roman" w:hAnsi="Arial" w:cs="Arial"/>
                <w:sz w:val="20"/>
                <w:szCs w:val="20"/>
              </w:rPr>
              <w:t>ilość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uzyskiwanych warstw w czasie jednego obrotu układu lampa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detektor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3E3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≥ 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Default="00FF2DFE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2379D1" w:rsidP="00237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Ilość  fizycznych rzędów detektora w osi Z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 xml:space="preserve"> (w przypadku systemu dw</w:t>
            </w:r>
            <w:r w:rsidR="00E95CCD">
              <w:rPr>
                <w:rFonts w:ascii="Arial" w:eastAsia="Times New Roman" w:hAnsi="Arial" w:cs="Arial"/>
                <w:sz w:val="20"/>
                <w:szCs w:val="20"/>
              </w:rPr>
              <w:t>udetektorowego podać sumę rzędów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456FBD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≥ </w:t>
            </w:r>
            <w:r w:rsidR="00FF2DFE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3E3256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≥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256 </w:t>
            </w: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>- 10 pkt</w:t>
            </w:r>
          </w:p>
          <w:p w:rsidR="00FF2DFE" w:rsidRPr="003E3256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&gt; 192</w:t>
            </w: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- 5 pkt</w:t>
            </w:r>
          </w:p>
          <w:p w:rsidR="00CD7C29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192</w:t>
            </w: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7D6FA0">
        <w:trPr>
          <w:trHeight w:val="55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Szerokość detektora w osi Z odniesiona do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</w:rPr>
              <w:t>izocentrum</w:t>
            </w:r>
            <w:proofErr w:type="spellEnd"/>
            <w:r w:rsidR="00906E98">
              <w:rPr>
                <w:rFonts w:ascii="Arial" w:eastAsia="Times New Roman" w:hAnsi="Arial" w:cs="Arial"/>
                <w:sz w:val="20"/>
                <w:szCs w:val="20"/>
              </w:rPr>
              <w:t xml:space="preserve"> (pokrycie anatomiczne) [cm]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3E3256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≥ 11</w:t>
            </w:r>
            <w:r w:rsidR="00CD7C29"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256" w:rsidRPr="003E3256" w:rsidRDefault="003E3256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>≥ 16 cm - 10 pkt</w:t>
            </w:r>
          </w:p>
          <w:p w:rsidR="003E3256" w:rsidRPr="003E3256" w:rsidRDefault="003E3256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>&gt; 11 cm - 5 pkt</w:t>
            </w:r>
          </w:p>
          <w:p w:rsidR="00CD7C29" w:rsidRPr="00CD7C29" w:rsidRDefault="003E3256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>11 cm - 0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7D6FA0">
        <w:trPr>
          <w:trHeight w:val="27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Średnica otworu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</w:rPr>
              <w:t>gantry</w:t>
            </w:r>
            <w:proofErr w:type="spellEnd"/>
            <w:r w:rsidR="003853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[cm]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≥ 78 cm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43D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&gt; 78</w:t>
            </w:r>
            <w:r w:rsidRPr="00CD7C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cm - </w:t>
            </w:r>
            <w:r w:rsidR="00C1440F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Pr="00CD7C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pkt</w:t>
            </w:r>
          </w:p>
          <w:p w:rsidR="00CD7C29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78 cm - </w:t>
            </w:r>
            <w:r w:rsidRPr="00CD7C29">
              <w:rPr>
                <w:rFonts w:ascii="Arial" w:eastAsia="Times New Roman" w:hAnsi="Arial" w:cs="Arial"/>
                <w:bCs/>
                <w:sz w:val="20"/>
                <w:szCs w:val="20"/>
              </w:rPr>
              <w:t>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7D6FA0">
        <w:trPr>
          <w:trHeight w:val="21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Maksymalne diagnostyczne pole skanowania i obrazowania [cm]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≥ 50 cm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Wyposażenie stołu: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materac,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podgłówek do badania głowy,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podgłówek do pozycji na wznak,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pasy stabilizujące,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mata chroniące stół przed zalaniem,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podpórka pod ramię, kolana, nogi,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uchwyt na podkład jednorazowy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</w:t>
            </w:r>
            <w:r w:rsidR="002379D1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skolimowanych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pól skanowania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38533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FA4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36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Kolimacja wiązki promieniowania w osi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zgodna z polami skanowania.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38533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55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Programowane w protokole badania wskaźniki z licznikami czasu informujące pacjenta w trakcie akwizycji o konieczności zatrzymania oddechu umieszczone z przodu i z tyłu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="009A1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18D7" w:rsidRPr="00CD7C29" w:rsidRDefault="009A18D7" w:rsidP="009A1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9A18D7" w:rsidP="009A1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55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Wyświetlanie filmów instruujących pacjenta o przebiegu badania na panelu informacyjnym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 w:rsidR="003E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398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B6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Tryb badań nagłych umożliwiający </w:t>
            </w:r>
            <w:r w:rsidR="00B67C2A"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badania bez konieczności wpisywania jego danych</w:t>
            </w:r>
            <w:r w:rsidR="00B67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B67C2A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="0032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2379D1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364445" w:rsidP="00FA4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6FBD" w:rsidRPr="00CD7C29" w:rsidTr="007D6FA0">
        <w:trPr>
          <w:trHeight w:val="422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generatora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możliwa do wykorzystania w protokole badania.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FA443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43D" w:rsidRPr="00FA443D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100 kW - 10 pkt</w:t>
            </w:r>
          </w:p>
          <w:p w:rsidR="0059088E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kW - 0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314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napięcie anodowe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 zastosowania w protokołach klinicznych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≤ 80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Default="0059088E" w:rsidP="00E0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80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E05956" w:rsidP="00FA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422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napięcie anodowe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 zastosowania w protokołach klinicznych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135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Default="0059088E" w:rsidP="00E0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135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E05956" w:rsidP="00FA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135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67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prąd anodowy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] wykorzystywany w protokole badania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FA443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1200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20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FA443D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80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FBD" w:rsidRPr="00CD7C29" w:rsidRDefault="00456FBD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FBD" w:rsidRPr="00CD7C29" w:rsidRDefault="00456FBD" w:rsidP="00FA443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Niskodawkowe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protokoły umożliwiające wykonywanie badań przy niskich nastawach napięcia ≤ 80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jednocześnie wysokich prądach ≥ 1000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FBD" w:rsidRPr="00CD7C29" w:rsidRDefault="00456FBD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10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</w:p>
          <w:p w:rsidR="00456FBD" w:rsidRPr="00CD7C29" w:rsidRDefault="00456FBD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C120D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Rzeczywista pojemność cieplna anody lampy </w:t>
            </w:r>
            <w:proofErr w:type="spellStart"/>
            <w:r w:rsidR="00C12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jej ekwiwalent</w:t>
            </w:r>
            <w:r w:rsidR="00B67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potwierdzenia tej wartości w dokumentach producenta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[MHU]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7 MHU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E05956" w:rsidRDefault="00E0595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C120D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Maksymalna szybkość chłodzenia lampy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 w:rsidR="00B67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C2A" w:rsidRDefault="00B67C2A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3000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 - 10 pkt</w:t>
            </w:r>
          </w:p>
          <w:p w:rsidR="0059088E" w:rsidRPr="00CD7C29" w:rsidRDefault="00B67C2A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1300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 – 5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B67C2A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/min – 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diagnostyczne pole skanowania i obrazowania [cm]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50 cm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zakres przesuwu stołu, bez elementów metalowych, umożliwiający skanowanie [cm]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B67C2A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200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(długość) pola badania bez elementów metalowych w skanie spiralnym (całe badanie bez konieczności zmiany pozycji pacjenta) [cm]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185 cm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956" w:rsidRPr="00CD7C29" w:rsidTr="007D6FA0">
        <w:trPr>
          <w:trHeight w:val="372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5956" w:rsidRPr="00CD7C29" w:rsidRDefault="00E05956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Pr="00CD7C29" w:rsidRDefault="00E05956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dopuszczalna masa pacjenta umożliwiająca skanowanie w pełnym zakresie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Pr="00CD7C29" w:rsidRDefault="00E05956" w:rsidP="00E0595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5956" w:rsidRDefault="00E0595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Pr="00CD7C29" w:rsidRDefault="00E05956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7D6FA0">
        <w:trPr>
          <w:trHeight w:val="7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Najkrótszy czas pełnego obrotu (360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układu lampa-detektor dostępny dla badań ogólnych i kardiologicznych [s]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</w:t>
            </w:r>
            <w:r w:rsidR="00B67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Default="003E325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0,24</w:t>
            </w:r>
            <w:r w:rsidR="00485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 – 10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0,28</w:t>
            </w:r>
            <w:r w:rsidR="0032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- 5 pkt</w:t>
            </w:r>
          </w:p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</w:t>
            </w:r>
            <w:r w:rsidR="00485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 –</w:t>
            </w:r>
            <w:r w:rsidR="00485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pkt </w:t>
            </w:r>
          </w:p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03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Prospektywne lub retrospektywne badania kardiologiczne bramkowane sygnałem EKG do oceny naczyń wieńcowych, oceny zwapnień i analizy funkcjonalnej serca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5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Akwizycja typu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Triple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Rule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-Out u pacjentów z bólem w klatce piersiowej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03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Akwizycja kardiologiczna umożliwiająca zbadanie całego serca (min. 16 cm) w jednym jego uderzeniu niezależnie od częstości jego pracy w zakresie min. 40 - 140 skurczów na minutę  - akwizycja danych z jednej fazy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03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Akwizycja kardiologiczna umożliwiająca zbadanie całego serca (min. 16 cm) w jednym jego uderzeniu niezależnie od częstości jego pracy w zakresie min. 40 - 140 skurczów na minutę  - akwizycja danych z wszystkich faz serca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264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Akwizycja kardiologiczna do oceny zwapnień naczyń wieńcowych (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Score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całego serca (16 cm) w jednym jego uderzeniu </w:t>
            </w: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niezależnie od częstości jego pracy w zakresie min. 40 - 140 skurczów na minutę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55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Akwizycja kardiologiczna umożliwiająca ocenę dynamicznej perfuzji mięśnia sercowego.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03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Automatyczna detekcja arytmii i w przypadku jej wystąpienia zablokowanie ekspozycji lub wykonanie powtórnej ekspozycji po powrocie rytmu serca do normalnego rytmu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03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Korekta miejsc bramkowania przebiegiem EKG bezpośrednio po zebraniu danych (eliminacja fałszywych załamków R, dodatkowych pobudzeń), przed dokonaniem właściwych rekonstrukcji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52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wybór optymalnej fazy rekonstrukcji dla uzyskania minimalnego ruchu naczyń wieńcowych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03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Pojedyncza seria badania dedykowana do planowania przezskórnego wszczepienia zastawki aortalnej (TAVI) będąca połączeniem akwizycji bramkowanej sygnałem EKG oraz szybkiej akwizycji niebramkowanej umożliwiająca zbadanie min. 70 cm anatomii w czasie poniżej 10 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Specjalistyczne oprogramowanie akwizycyjno-rekonstrukcyjne zmniejszające co najmniej pięciokrotnie rozmycie od ruchu naczyń wie</w:t>
            </w:r>
            <w:r w:rsidR="00322986">
              <w:rPr>
                <w:rFonts w:ascii="Arial" w:eastAsia="Times" w:hAnsi="Arial" w:cs="Arial"/>
                <w:kern w:val="8"/>
                <w:sz w:val="20"/>
                <w:szCs w:val="20"/>
              </w:rPr>
              <w:t>ń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cowych w porównaniu do standardowej akwizycji.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EDB" w:rsidRPr="00CD7C29" w:rsidRDefault="00485EDB" w:rsidP="0032298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t>Tak</w:t>
            </w:r>
            <w:proofErr w:type="spellEnd"/>
            <w:r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t>Nie</w:t>
            </w:r>
            <w:proofErr w:type="spellEnd"/>
            <w:r w:rsidRPr="00CD7C29"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br/>
            </w:r>
            <w:proofErr w:type="spellStart"/>
            <w:r w:rsidRPr="00CD7C29"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t>opisać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D1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03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dynamicznych badań naczyniowych 4D-CTA przy pojedynczym podaniu środka kontrastowego, z rozdziel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czością czasową nie gorszą niż 2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sekund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cm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3E32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dynamicznych badań perfuzyjnych mózgowia  przy pojedynczym podaniu środka kontrastowego [cm]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25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3256" w:rsidRPr="00CD7C29" w:rsidRDefault="003E3256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3256" w:rsidRPr="00CD7C29" w:rsidRDefault="003E3256" w:rsidP="00FF2DF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Precyzyjne badania perfuzji </w:t>
            </w:r>
            <w:r w:rsid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mózgowia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</w:t>
            </w:r>
            <w:r w:rsid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ruchu stołu podczas skanowania i przy akwizycji całego mózgowia min. 16 cm w tym samym czasie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256" w:rsidRPr="00CD7C29" w:rsidRDefault="00FF2DFE" w:rsidP="00485ED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3E3256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256" w:rsidRPr="00CD7C29" w:rsidRDefault="003E3256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Modulowanie promieniowania RTG w zależności od rzeczywistej pochłanialności badanej anatomii. Modulacja we wszystkich trzech osiach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x,y,z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85ED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84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906E9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wartość współczynnika skoku spirali (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pitch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możliwego do ustawienia w protokole badania spiralnego </w:t>
            </w:r>
            <w:r w:rsidR="00906E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pola skanowania i obrazowania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50 cm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1,50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85EDB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1,50 – 10 pkt</w:t>
            </w:r>
          </w:p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 – 0 pkt</w:t>
            </w:r>
          </w:p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8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456FBD" w:rsidRDefault="00485EDB" w:rsidP="00C120D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dobór napięcia anodowego, prądu i innych parametrów skanowania w zależności od badanej anatomii i rozmiaru pacjenta - z możliwością wyłączenia tej funkcji.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456FBD" w:rsidRDefault="00485EDB" w:rsidP="00456F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Default="002379D1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56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7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456FB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Maksymalna szybkość skanowania spiralnego przy pełnym min. 50 cm polu skanowania (FOV)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56F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mm/s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400 mm/s - 20 pkt</w:t>
            </w:r>
          </w:p>
          <w:p w:rsidR="00485EDB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200 mm/s - 10 pkt</w:t>
            </w:r>
          </w:p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mm/s - 0 pkt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56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Specjalny tryb akwizycji zmniejszający dawkę powierzchniową promieniowania nad szczególnie wrażliwymi organami (oczodoły, tarczyca, piersi).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85ED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jakościowe</w:t>
            </w: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3E32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przestrzenna dla całego zakresu skanowania i akwizycji min. </w:t>
            </w:r>
            <w:r w:rsidR="003E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 [mm]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50A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0,3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986" w:rsidRDefault="00FF2DFE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</w:t>
            </w:r>
            <w:r w:rsidR="0032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0,25 mm - 10 pkt</w:t>
            </w:r>
          </w:p>
          <w:p w:rsidR="00485EDB" w:rsidRPr="00CD7C29" w:rsidRDefault="00322986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0,3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322986" w:rsidP="00550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najcieńszej warstwy akwizycyjnej w akwizycji wielowarstwowej [mm]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0,65 mm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0,65 mm – 5 pkt 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 mm – 0 pkt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3E32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  rozdzielczość wysokokontrastowa w osi XY pr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 jednoczesnej akwizycji min. </w:t>
            </w:r>
            <w:r w:rsidR="003E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192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warstw, w akwizycji spiralnej, w matrycy 512x512, w punkcie 50% krzywej MTF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12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12,0 </w:t>
            </w:r>
            <w:proofErr w:type="spellStart"/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 – 5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550A8E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12,0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 – 0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 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550A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Rzeczywista </w:t>
            </w:r>
            <w:r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lub efektywna </w:t>
            </w:r>
            <w:r w:rsidR="00550A8E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kardiologiczna 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rozdzielczość czasowa możliwa do uzyskania w badaniu </w:t>
            </w:r>
            <w:r w:rsidR="00550A8E">
              <w:rPr>
                <w:rFonts w:ascii="Arial" w:eastAsia="Times" w:hAnsi="Arial" w:cs="Arial"/>
                <w:kern w:val="8"/>
                <w:sz w:val="20"/>
                <w:szCs w:val="20"/>
              </w:rPr>
              <w:t>naczyń wieńcowych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przy jednosegmentowej rekonstrukcji obrazu [ms]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EDB" w:rsidRPr="00CD7C29" w:rsidRDefault="00485EDB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  <w:lang w:val="en-US"/>
              </w:rPr>
              <w:t xml:space="preserve">≤ </w:t>
            </w:r>
            <w:r>
              <w:rPr>
                <w:rFonts w:ascii="Arial" w:eastAsia="Times" w:hAnsi="Arial" w:cs="Arial"/>
                <w:kern w:val="8"/>
                <w:sz w:val="20"/>
                <w:szCs w:val="20"/>
                <w:lang w:val="en-US"/>
              </w:rPr>
              <w:t>140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Default="00FF2DFE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</w:t>
            </w:r>
            <w:r w:rsidR="00485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ms - 20 pkt </w:t>
            </w:r>
          </w:p>
          <w:p w:rsidR="00485EDB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70 ms - 10 pkt</w:t>
            </w:r>
          </w:p>
          <w:p w:rsidR="00485EDB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140 ms - 5 pkt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 ms - 0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Konsola operatorska</w:t>
            </w: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485E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Dwumonitorowe stanowisko operatorskie z kolorowymi monitorami o przekątnej kolorowych monitorów z aktywną matrycą ciekłokrystaliczną typu Flat nie mniejszą niż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dysku twardego dla obrazów [512 x 512] bez kompresji wyrażona ilością obrazów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00 000 obrazów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B67C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Szybkość rekonstrukcji obrazów w rozdzielczości 512 x 512 [obrazów/s]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6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obrazów/s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49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Niskodawkowy</w:t>
            </w:r>
            <w:proofErr w:type="spellEnd"/>
            <w:r w:rsidRPr="00CD7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iteracyjny algorytm rekonstrukcji z wielokrotnym przetwarzaniem w obszarze danych surowych umożliwiaj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ący redukcje dawki co najmniej 8</w:t>
            </w:r>
            <w:r w:rsidRPr="00CD7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0% w relacji do standardowej metody rekonstrukcji FBP bez pogorszenia jakości obrazowania.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 nazwę algorytmu i % redukcji dawki bez pogorszenia jakości obrazu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106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485ED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Nowoczesny algorytm rekonstrukcyjny wykorzystujący sztuczną inteligencję </w:t>
            </w:r>
            <w:r w:rsidR="00A65AA6"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AI </w:t>
            </w:r>
            <w:r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sieć neuronową i pracujący w oparciu technologię głębokiego uczenia (</w:t>
            </w:r>
            <w:proofErr w:type="spellStart"/>
            <w:r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Deep</w:t>
            </w:r>
            <w:proofErr w:type="spellEnd"/>
            <w:r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Learning) to tworzenia obrazów o bardzo wysokiej jakości z niskimi poziomami szumu.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Default="00FF2DFE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F4219A" w:rsidRPr="00CD7C29" w:rsidRDefault="00F4219A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984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Kompletny zestaw protokołów do badań wszystkich obszarów anatomicznych (w tym badań pediatrycznych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niskodawkowych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możliwością ich projektowania i zapamiętywania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możliwych do zaprogramowania (prospektywnie) współbieżnych zadań rekonstrukcyjnych dla jednego protokołu skanowania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63C5" w:rsidRDefault="005763C5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20 - 10 pkt</w:t>
            </w:r>
          </w:p>
          <w:p w:rsidR="005763C5" w:rsidRDefault="005763C5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10 - 5 pkt</w:t>
            </w:r>
          </w:p>
          <w:p w:rsidR="00485EDB" w:rsidRPr="00CD7C29" w:rsidRDefault="005763C5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10 - 0 pkt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sieciowy zgodnie z DICOM 3.0 z następującymi klasami serwisowymi: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Send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Receive</w:t>
            </w:r>
            <w:proofErr w:type="spellEnd"/>
          </w:p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 Retrieve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 w:type="textWrapping" w:clear="all"/>
              <w:t>- Storage</w:t>
            </w:r>
          </w:p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 Worklist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 w:type="textWrapping" w:clear="all"/>
              <w:t>- Structured Dose Report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rPr>
          <w:trHeight w:val="204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MIP (Maximum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Intensity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Projection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VRT (Volume Rendering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Technique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wirtualnej endoskopii </w:t>
            </w:r>
            <w:r w:rsidR="00A65A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naczyń,</w:t>
            </w:r>
            <w:r w:rsidR="00A65AA6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dróg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powietrznych</w:t>
            </w:r>
            <w:r w:rsidR="00A65A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jelita grubego z przekrojami w trzech głównych płaszczyznach (wraz z interaktywną synchronizacją położenia kursora)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Reformatowanie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wielopłaszczyznowe (MPR).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startu badania spiralnego na podstawie automatycznej analizy napływu środka cieniującego w zadanej warstwie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A65AA6" w:rsidRDefault="00485EDB" w:rsidP="00A65AA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Sprzężenie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min. klasie IV wg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425 z dostarczonym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wstrzykiwaczem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klasę sprzężenia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wstrzykiwaczem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kontrastu bezpośrednio z konsoli tomografu komputerowego. Możliwość programowania i zapamiętywania parametrów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bezpośrednio w protokole badania na konsoli operatorskiej.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32298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32298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raport dotyczący rzeczywistych parametrów kontrastu (co najmniej objętość, szybkość wstrzyknięcia, opóźnienie) jaką otrzymał pacjent w każdej serii dołączany do badania w postaci dodatkowej serii DICOM  z możliwością jego zapamiętania  i wydruku.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powiadamiane obsługi tomografu, przez wyświetlenie odpowiedniego komunikatu, o możliwości przekroczenia referencyjnej dawki promieniowania w danym badaniu.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oprogramowania do kontroli poziomu alarmowego dawki, przy przekroczeniu, którego użytkownik musi uzyskać zgodę od IOR lub innej osoby odpowiedzialnej, na kontynuację skanowania przy aktualnie oszacowanej dawce.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986" w:rsidRPr="00CD7C29" w:rsidRDefault="00322986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322986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Serwer aplikacyjny i konsole lekarskie</w:t>
            </w:r>
          </w:p>
        </w:tc>
      </w:tr>
      <w:tr w:rsidR="00485EDB" w:rsidRPr="00CD7C29" w:rsidTr="007D6FA0">
        <w:trPr>
          <w:trHeight w:val="36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B27" w:rsidRDefault="00640B27" w:rsidP="00640B2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18"/>
              </w:rPr>
            </w:pPr>
            <w:r w:rsidRPr="00640B27">
              <w:rPr>
                <w:rFonts w:ascii="Arial" w:hAnsi="Arial" w:cs="Arial"/>
                <w:sz w:val="20"/>
                <w:szCs w:val="18"/>
              </w:rPr>
              <w:t>Dostawa nowego serwera aplikacyjnego lub rozbudowa posiadanego serwera. Nowy lub rozbudowany serwer musi posiadać następujące parametry:</w:t>
            </w:r>
          </w:p>
          <w:p w:rsidR="00A65AA6" w:rsidRPr="00F4219A" w:rsidRDefault="00A65AA6" w:rsidP="00640B2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sz w:val="20"/>
                <w:szCs w:val="18"/>
              </w:rPr>
              <w:t xml:space="preserve">pamięć RAM: min. </w:t>
            </w:r>
            <w:r w:rsidR="00062DBE" w:rsidRPr="00F4219A">
              <w:rPr>
                <w:rFonts w:ascii="Arial" w:hAnsi="Arial" w:cs="Arial"/>
                <w:sz w:val="20"/>
                <w:szCs w:val="18"/>
              </w:rPr>
              <w:t>384</w:t>
            </w:r>
            <w:r w:rsidRPr="00F4219A">
              <w:rPr>
                <w:rFonts w:ascii="Arial" w:hAnsi="Arial" w:cs="Arial"/>
                <w:sz w:val="20"/>
                <w:szCs w:val="18"/>
              </w:rPr>
              <w:t xml:space="preserve"> GB </w:t>
            </w:r>
          </w:p>
          <w:p w:rsidR="00A65AA6" w:rsidRPr="00F4219A" w:rsidRDefault="00A65AA6" w:rsidP="00640B2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sz w:val="20"/>
                <w:szCs w:val="18"/>
              </w:rPr>
              <w:t xml:space="preserve">wbudowana macierz w konfiguracji RAID </w:t>
            </w:r>
          </w:p>
          <w:p w:rsidR="00A65AA6" w:rsidRPr="00F4219A" w:rsidRDefault="00A65AA6" w:rsidP="00640B2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sz w:val="20"/>
                <w:szCs w:val="18"/>
              </w:rPr>
              <w:t>pojemności macierzy: min. 10 TB</w:t>
            </w:r>
          </w:p>
          <w:p w:rsidR="00A65AA6" w:rsidRPr="00F4219A" w:rsidRDefault="00A65AA6" w:rsidP="00640B2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color w:val="000000"/>
                <w:sz w:val="20"/>
                <w:szCs w:val="18"/>
              </w:rPr>
              <w:t>serwer umożliwiający jednoczesne przetwarzanie min. 80 000 warstw</w:t>
            </w:r>
          </w:p>
          <w:p w:rsidR="00062DBE" w:rsidRPr="00F4219A" w:rsidRDefault="00A65AA6" w:rsidP="00640B2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color w:val="000000"/>
                <w:sz w:val="20"/>
                <w:szCs w:val="18"/>
              </w:rPr>
              <w:t>system musi pracować w oparciu o model licencji pływających, umożliwiając zainstalowanie oprogramowania klienckiego na dowolnej liczbie stacji klienckich.</w:t>
            </w:r>
          </w:p>
          <w:p w:rsidR="00485EDB" w:rsidRPr="00062DBE" w:rsidRDefault="00A65AA6" w:rsidP="00640B2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F4219A">
              <w:rPr>
                <w:rFonts w:ascii="Arial" w:hAnsi="Arial" w:cs="Arial"/>
                <w:color w:val="000000"/>
                <w:sz w:val="20"/>
                <w:szCs w:val="18"/>
              </w:rPr>
              <w:t xml:space="preserve">oprogramowanie i ilość jednoczasowych licencji zgodnie z wymaganiami opisanymi w punktach: </w:t>
            </w:r>
            <w:r w:rsidR="005763C5">
              <w:rPr>
                <w:rFonts w:ascii="Arial" w:hAnsi="Arial" w:cs="Arial"/>
                <w:sz w:val="20"/>
                <w:szCs w:val="18"/>
              </w:rPr>
              <w:t>7</w:t>
            </w:r>
            <w:r w:rsidR="00D16E92">
              <w:rPr>
                <w:rFonts w:ascii="Arial" w:hAnsi="Arial" w:cs="Arial"/>
                <w:sz w:val="20"/>
                <w:szCs w:val="18"/>
              </w:rPr>
              <w:t>2</w:t>
            </w:r>
            <w:r w:rsidR="00B76532" w:rsidRPr="00906E98">
              <w:rPr>
                <w:rFonts w:ascii="Arial" w:hAnsi="Arial" w:cs="Arial"/>
                <w:sz w:val="20"/>
                <w:szCs w:val="18"/>
              </w:rPr>
              <w:t>-11</w:t>
            </w:r>
            <w:r w:rsidR="00D16E92">
              <w:rPr>
                <w:rFonts w:ascii="Arial" w:hAnsi="Arial" w:cs="Arial"/>
                <w:sz w:val="20"/>
                <w:szCs w:val="18"/>
              </w:rPr>
              <w:t>7</w:t>
            </w:r>
            <w:r w:rsidRPr="00F4219A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9D1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after="0" w:line="240" w:lineRule="auto"/>
              <w:ind w:left="18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5CCD" w:rsidRPr="00CD7C29" w:rsidTr="007D6FA0">
        <w:trPr>
          <w:trHeight w:val="154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CCD" w:rsidRPr="00E95CCD" w:rsidRDefault="00E95CCD" w:rsidP="00E9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5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68a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CCD" w:rsidRPr="00E95CCD" w:rsidRDefault="00E95CCD" w:rsidP="00A65AA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95CCD">
              <w:rPr>
                <w:rFonts w:ascii="Arial" w:hAnsi="Arial" w:cs="Arial"/>
                <w:sz w:val="20"/>
                <w:szCs w:val="20"/>
              </w:rPr>
              <w:t>Wsparcie techniczne w zakresie serwera aplikacyjnego obejmujące aktualizacje oprogramowania diagnostycznego (update/</w:t>
            </w:r>
            <w:proofErr w:type="spellStart"/>
            <w:r w:rsidRPr="00E95CCD">
              <w:rPr>
                <w:rFonts w:ascii="Arial" w:hAnsi="Arial" w:cs="Arial"/>
                <w:sz w:val="20"/>
                <w:szCs w:val="20"/>
              </w:rPr>
              <w:t>hotfix</w:t>
            </w:r>
            <w:proofErr w:type="spellEnd"/>
            <w:r w:rsidRPr="00E95CCD">
              <w:rPr>
                <w:rFonts w:ascii="Arial" w:hAnsi="Arial" w:cs="Arial"/>
                <w:sz w:val="20"/>
                <w:szCs w:val="20"/>
              </w:rPr>
              <w:t xml:space="preserve">), modernizacje oprogramowania diagnostycznego (coroczne </w:t>
            </w:r>
            <w:proofErr w:type="spellStart"/>
            <w:r w:rsidRPr="00E95CCD">
              <w:rPr>
                <w:rFonts w:ascii="Arial" w:hAnsi="Arial" w:cs="Arial"/>
                <w:sz w:val="20"/>
                <w:szCs w:val="20"/>
              </w:rPr>
              <w:t>upgrady</w:t>
            </w:r>
            <w:proofErr w:type="spellEnd"/>
            <w:r w:rsidRPr="00E95CCD">
              <w:rPr>
                <w:rFonts w:ascii="Arial" w:hAnsi="Arial" w:cs="Arial"/>
                <w:sz w:val="20"/>
                <w:szCs w:val="20"/>
              </w:rPr>
              <w:t xml:space="preserve"> do najnowszej i aktualnej wersji oprogramowania) – </w:t>
            </w:r>
            <w:r w:rsidRPr="00E95CCD">
              <w:rPr>
                <w:rFonts w:ascii="Arial" w:hAnsi="Arial" w:cs="Arial"/>
                <w:b/>
                <w:sz w:val="20"/>
                <w:szCs w:val="20"/>
              </w:rPr>
              <w:t>w okresie gwarancji.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5CCD" w:rsidRPr="00CD7C29" w:rsidRDefault="00E95CCD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CCD" w:rsidRDefault="00E95CCD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CCD" w:rsidRPr="00CD7C29" w:rsidRDefault="00E95CCD" w:rsidP="002C2F0F">
            <w:pPr>
              <w:spacing w:after="0" w:line="240" w:lineRule="auto"/>
              <w:ind w:left="18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rPr>
          <w:trHeight w:val="125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986" w:rsidRDefault="00A65AA6" w:rsidP="00B7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Stanowisko diagnostyczne (stacja kliencka serwera) - konsola lekarska trzymonitorowa – </w:t>
            </w:r>
            <w:r w:rsid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D16E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komplety:</w:t>
            </w:r>
          </w:p>
          <w:p w:rsidR="00A65AA6" w:rsidRPr="00F4219A" w:rsidRDefault="00A65AA6" w:rsidP="006C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</w:t>
            </w:r>
            <w:r w:rsidR="00B765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PC 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B765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monitory diagnostyczne 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medyczne w klasie </w:t>
            </w:r>
            <w:proofErr w:type="spellStart"/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IIb</w:t>
            </w:r>
            <w:proofErr w:type="spellEnd"/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C03F6"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typu Flat ≥  21" oraz rozdzielczość ≥ 2MPx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opisowy min. 22”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2379D1" w:rsidP="0032298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32298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rPr>
          <w:trHeight w:val="112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przetwarzanie otrzymanych danych w oparciu o kontekst kliniczny badania z możliwością automatycznego przypisywania procedur obrazowych do obrazów na podstawie informacji zawartych w nagłówkach DICOM.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95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rPr>
          <w:trHeight w:val="27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sieciowy zgodnie z DICOM 3.0 z następującymi klasami serwisowymi: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Send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Receive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Basic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Retrieve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Storage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commitment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A65AA6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FA0" w:rsidRPr="00CD7C29" w:rsidTr="007D6FA0">
        <w:trPr>
          <w:trHeight w:val="87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FA0" w:rsidRPr="007D6FA0" w:rsidRDefault="007D6FA0" w:rsidP="007D6FA0">
            <w:pPr>
              <w:spacing w:after="0" w:line="240" w:lineRule="auto"/>
              <w:ind w:left="6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71b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FA0" w:rsidRPr="007D6FA0" w:rsidRDefault="007D6FA0" w:rsidP="007D6FA0">
            <w:pPr>
              <w:spacing w:after="0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7D6FA0">
              <w:rPr>
                <w:rFonts w:ascii="Arial" w:hAnsi="Arial" w:cs="Arial"/>
                <w:sz w:val="20"/>
                <w:szCs w:val="20"/>
              </w:rPr>
              <w:t xml:space="preserve">Możliwość integracji z innym serwerem aplikacyjnym posiadanym przez Zamawiającego, w zakresie możliwości stosowania: </w:t>
            </w:r>
          </w:p>
          <w:p w:rsidR="007D6FA0" w:rsidRPr="007D6FA0" w:rsidRDefault="007D6FA0" w:rsidP="007D6FA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4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A0">
              <w:rPr>
                <w:rFonts w:ascii="Arial" w:hAnsi="Arial" w:cs="Arial"/>
                <w:sz w:val="20"/>
                <w:szCs w:val="20"/>
              </w:rPr>
              <w:t>pływających licencji przez użytkowników</w:t>
            </w:r>
          </w:p>
          <w:p w:rsidR="007D6FA0" w:rsidRPr="007D6FA0" w:rsidRDefault="007D6FA0" w:rsidP="007D6FA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4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A0">
              <w:rPr>
                <w:rFonts w:ascii="Arial" w:hAnsi="Arial" w:cs="Arial"/>
                <w:sz w:val="20"/>
                <w:szCs w:val="20"/>
              </w:rPr>
              <w:t>wspólnej puli badań oraz badań poprzednich</w:t>
            </w:r>
          </w:p>
          <w:p w:rsidR="007D6FA0" w:rsidRPr="00CD7C29" w:rsidRDefault="007D6FA0" w:rsidP="007D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FA0">
              <w:rPr>
                <w:rFonts w:ascii="Arial" w:hAnsi="Arial" w:cs="Arial"/>
                <w:sz w:val="20"/>
                <w:szCs w:val="20"/>
              </w:rPr>
              <w:t>możliwości łączenia się radiologów z obu lokalizacji do serwera aplikacyjnego, natychmiastowego dostępu do serwera z badaniami bieżącymi, poprzednimi oraz stosownymi aplikacjami.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FA0" w:rsidRDefault="007D6FA0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Tak/Nie </w:t>
            </w:r>
          </w:p>
          <w:p w:rsidR="007D6FA0" w:rsidRPr="00CD7C29" w:rsidRDefault="007D6FA0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oceny</w:t>
            </w:r>
            <w:bookmarkStart w:id="0" w:name="_GoBack"/>
            <w:bookmarkEnd w:id="0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FA0" w:rsidRDefault="007D6FA0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FA0" w:rsidRPr="00CD7C29" w:rsidRDefault="007D6FA0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A65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Aplikacje podstawowe (6 jednoczasowych licencji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Jednoczesna prezentacja i odczyt, z synchronizacją przestrzenną, danych obrazowych TK.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Jednoczesne ładowanie min. dwóch zestawów danych tego samego pacjenta.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Funkcjonalność 2D, 3D dla obrazów w standardzie DICOM.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Rekonstrukcje MIP, VRT, 3D.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Predefiniowana paleta ustawień dla rekonstrukcji VRT uwzględniająca typy badań, obszary anatomiczne.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Reformatowanie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wielopłaszczyznowe (MPR).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Pomiary geometryczne (odległości, kąty).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Automatyczna synchronizacja wyświetlanych serii badania. Możliwość synchronicznego wyświetlania min. 4 serii badania.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F4219A" w:rsidP="00FF2DF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</w:t>
            </w:r>
            <w:r w:rsid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owanie do wirtualnej endoskopii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dróg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powietrznych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jelita grubego z przekrojami w trzech głównych płaszczyznach (wraz z interaktywną synchronizacją położenia kursora)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F2DF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wirtualnej endoskopii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naczyń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przekrojami w trzech głównych płaszczyznach (wraz z interaktywną synchronizacją położenia kursora)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  <w:p w:rsidR="00FF2DFE" w:rsidRPr="00CD7C29" w:rsidRDefault="00FF2DFE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3F6" w:rsidRPr="00CD7C29" w:rsidRDefault="006C03F6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FF2DFE" w:rsidRDefault="006C03F6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D16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Aplikacje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naczyniowo - kardiologiczne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="00D16E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jednoczasowe licencje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naczyń (rozwinięcie wzdłuż linii centralnej naczynia, pomiar średnicy,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pola przekroju w płaszczyźnie prostopadłej, automatyczne wyznaczanie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stenozy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usuwanie struktur kostnych z pozostawieniem wyłącznie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zakontrastowanego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drzewa naczyniowego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Oprogramowanie do oceny zwapnień naczyń wieńcowych typu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Calcium</w:t>
            </w:r>
            <w:proofErr w:type="spellEnd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Score</w:t>
            </w:r>
            <w:proofErr w:type="spellEnd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metodą wagową, objętościową i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Agastona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rPr>
          <w:trHeight w:val="165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Oprogramowanie do oceny tętnic wieńcowych z funkcją: automatycznej izolacji mięśnia serca, rozwinięcia wzdłuż linii centralnej naczynia, pomiaru średnicy, pola przekroju, światła naczynia i automatycznego pomiaru stopnia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stenozy</w:t>
            </w:r>
            <w:proofErr w:type="spellEnd"/>
            <w:r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. 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Automatyczna segmentacja i etykietowanie naczyń wieńcowych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Segmentacja wszystkich jam serca (komór i przedsionków) oraz ich analiza funkcjonalna wraz z obliczaniem parametrów funkcjonalnych wszystkich jam.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hAnsi="Arial" w:cs="Arial"/>
                <w:sz w:val="20"/>
                <w:szCs w:val="20"/>
              </w:rPr>
              <w:t>Oprogramowanie do oceny parametrów czynnościowych lewej komory serca z pomiarem m.in.: objętości skurczowej, objętości rozkurczowej, objętości wyrzutowej, frakcji wyrzutowej, pogrubienia ściany lub kurczliwości odcinkowej oraz wizualizacją w 2D parametrów funkcjonalnych w postaci min. 17 segmentowego diagramu AHA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Uwidacznianie tętnic wieńcowych w prezentacji IVUS (wewnątrznaczyniowe badanie ultrasonograficzne)  z oceną lokalizacji blaszki miażdżycowej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Oprogramowanie do oceny ilościowej i jakościowej blaszek miażdżycowych w naczyniach wieńcowych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" w:hAnsi="Arial" w:cs="Arial"/>
                <w:kern w:val="8"/>
                <w:sz w:val="20"/>
                <w:szCs w:val="20"/>
              </w:rPr>
            </w:pPr>
          </w:p>
        </w:tc>
      </w:tr>
      <w:tr w:rsidR="00FF2DFE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Aplikacje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specjalistyczne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jednoczasowe licencje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etykietowanie kręgów kręgosłupa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automatycznej segmentacji 3D i oceny krwiaków w mózgu z serii bez kontrastu wraz z automatycznym obliczaniem objętości krwiaka oraz jego krótkiej i długiej osi.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obliczanie sumarycznej objętości wszystkich krwiaków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segmentacji 3D i oceny tętniaków w mózgu z serii z kontrastem wraz z automatycznym obliczaniem objętości tętniaka, minimalnej i maksymalnej długości tętniaka oraz maksymalnej i minimalnej średnicy szyjki tętniaka. 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070B29" w:rsidRDefault="000A6781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070B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070B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070B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070B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070B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070B29" w:rsidRDefault="000A6781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070B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  <w:r w:rsidRPr="00070B2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 xml:space="preserve">Oprogramowanie do oceny perfuzji mózgu umożliwiające ocenę ilościową i jakościową (mapy barwne) co najmniej następujących parametrów: </w:t>
            </w:r>
            <w:proofErr w:type="spellStart"/>
            <w:r w:rsidRPr="00070B2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rBF</w:t>
            </w:r>
            <w:proofErr w:type="spellEnd"/>
            <w:r w:rsidRPr="00070B2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 xml:space="preserve"> (miejscowy przepływ krwi), </w:t>
            </w:r>
            <w:proofErr w:type="spellStart"/>
            <w:r w:rsidRPr="00070B2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rBV</w:t>
            </w:r>
            <w:proofErr w:type="spellEnd"/>
            <w:r w:rsidRPr="00070B2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 xml:space="preserve"> (miejscowa objętość krwi), PS (przepuszczalność tkankowa) oraz TTP (czas do szczytu krzywej wzmocnienia) i MTT (średni czas przejścia)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070B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  <w:r w:rsidRPr="00070B2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Tak</w:t>
            </w:r>
          </w:p>
          <w:p w:rsidR="000A6781" w:rsidRPr="00070B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  <w:r w:rsidRPr="00070B2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070B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  <w:r w:rsidRPr="00070B2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070B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perfuzji mózgu umożliwiające generowanie mapy barwnej przepuszczalności tkankowej PS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perfuzji mózgu umożliwiające generowanie mapy barwnej opóźnienia pojawienia się kontrastu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iRF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Pakiet oceny perfuzji mózgu ma 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penumbry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zawału) w celu pomocy w odróżnianiu żywej i martwej tkanki w obszarze zawału.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Wyświetlanie map perfuzyjnych mózgowia w 3D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F4219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segmentacji zmian ogniskowych z wyznaczaniem parametrów: max średnicy, objętości, średniej gęstości zgodnie z kryter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iami WHO, RECIST1.0, RECIST1.1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własnych kryteriów oceny zmian onkologicznych i wykonywanie śledzenia zmian w oparciu o stworzone kryteria.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wirtualnej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umożliwiające automatyczną segmentację jelita grubego, jednoczesną prezentację wnętrza jelita i projekcji przekrojów w trzech głównych płaszczyznach. Interaktywna zmiana położenia kursora we wszystkich oknach. Jednoczesna prezentacji badania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dwóch pozycjach (na brzuchu i na plecach) z synchronizacją przestrzenną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Prezentacji jelita na płaszczyźnie w postaci jednej wstęgi (tzw. wirtualna dysekcja jelita)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wyszukiwania miejsc o charakterze polipów zintegrowane z oprogramowaniem do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oznaczania i usuwania obrazu pozostałości kałowych z jelita grubego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4219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wyszukiwania zmian ogniskowych w płucach, zmian guzkowych w miąższu i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przyopłucnowych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 możliwością zapamiętywania położenia zmian, objętościową analizą guzków płucnych, automatyczną oceną dynamiki wielkości zmian, a także czasu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którym objętość zmian wzrośnie dwukrotnie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rPr>
          <w:trHeight w:val="25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0A678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rozróżnianie charakteru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guza (lity, nielity, częściowo lity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oraz automatycznie obliczanie objętości części litej i nielitej.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diagnostyki chorób płuc (m.in.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POChP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umożliwiające obliczanie rozedmy  i analizę dróg oddechowych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zawansowanej analizy miąższu płuc wspomagające diagnostykę COVID'19 umożliwiające automatyczną segmentację i zaznaczenie kolorem obszarów min. 3 podstawowych zmętnień: mlecznej szyby (GGO), zagęszczeń siateczkowych (CPP) oraz zagęszczeń skonsolidowanych (PNC) z obliczaniem objętości i procentu poszczególnych obszarów zmętnień w stosunku do całych płuc, lewego i prawego płuca oraz poszczególnych płatów płuc. Kolorowa prezentacja poszczególnych obszarów na tle płuc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Segmentacja wszystkich pięciu płatów płuc wraz z prezentacją ich w różnych kolorach i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automatyczne obliczanie rozedmy w poszczególnych płatach płuc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umożliwiające dokonanie automatycznych pomiarów grubości ścian poszczególnych dróg oddechowych oraz średnicy ich światła wraz z prezentacją zewnętrznych i wewnętrznych konturów tych ścian.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B7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B7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B7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9A18D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półautomatycznej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segmentacji wątroby, podziału wątroby na płaty i min. 8 segmentów gałęzi żyły wrotnej.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umożliwiające automatyczne obliczanie stosunku objętości guza do objętości wątroby, płatu i segmentu, w którym znajduje się guz.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automatycznej fuzji badań z różnych systemów diagnostycznych: TK/MR, TK/PET.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2379D1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Oprogramowanie do automatycznego planowania TAVI umożliwiające mi.in: automatyczną segmentację aorty z automatyczną detekcją płaszczyzny pierścienia. Pomiary pierścienia zastawki min. maksymalna średnica, minimalna średnica, obwód pierścienia, powierzchnia pierścienia.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554A0A">
            <w:pPr>
              <w:spacing w:after="0" w:line="240" w:lineRule="auto"/>
              <w:rPr>
                <w:rFonts w:ascii="Arial" w:eastAsia="Times" w:hAnsi="Arial" w:cs="Arial"/>
                <w:kern w:val="8"/>
                <w:sz w:val="20"/>
                <w:szCs w:val="20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2379D1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Oprogramowanie do oceny perfuzji mięśnia serca umożliwiające ocenę ilościową i jakościową (mapy barwne) co najmniej następujących parametrów: </w:t>
            </w:r>
            <w:proofErr w:type="spellStart"/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>rBF</w:t>
            </w:r>
            <w:proofErr w:type="spellEnd"/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(miejscowy przepływ krwi), </w:t>
            </w:r>
            <w:proofErr w:type="spellStart"/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>rBV</w:t>
            </w:r>
            <w:proofErr w:type="spellEnd"/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(miejscowa objętość krwi), oraz TTP (czas do szczytu krzywej wzmocnienia) lub MTT (średni czas przejścia)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2379D1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Specjalistyczne oprogramowanie do planowania zabiegów elektrofizjologicznych umożliwiające wizualizację w 3D układu anatomicznego lewego 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lastRenderedPageBreak/>
              <w:t>przedsionka, zatoki wieńcowej oraz żył płucnych wraz z ich oceną i pomiarami. Oprogramowanie musi umożliwiać 360 stopniowy widok z wnętrza przedsionka do oceny ujść żył płucnych oraz uszka lewego przedsionka.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A951EA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5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554A0A">
            <w:pPr>
              <w:spacing w:after="0" w:line="240" w:lineRule="auto"/>
              <w:rPr>
                <w:rFonts w:ascii="Arial" w:eastAsia="Times" w:hAnsi="Arial" w:cs="Arial"/>
                <w:kern w:val="8"/>
                <w:sz w:val="20"/>
                <w:szCs w:val="20"/>
              </w:rPr>
            </w:pPr>
          </w:p>
        </w:tc>
      </w:tr>
      <w:tr w:rsidR="000A6781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Warunki instalacyjne</w:t>
            </w:r>
          </w:p>
        </w:tc>
      </w:tr>
      <w:tr w:rsidR="000A6781" w:rsidRPr="00CD7C29" w:rsidTr="007D6FA0">
        <w:trPr>
          <w:trHeight w:val="16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temperatur pracy systemu [°C]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rPr>
          <w:trHeight w:val="16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Wymagana moc przyłączeniowa [kVA]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53344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w</w:t>
            </w:r>
            <w:r w:rsidR="000A6781"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yposażenie</w:t>
            </w: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B7653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Podłączenie wraz z niezbędną </w:t>
            </w:r>
            <w:r w:rsidR="00205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bezterminową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licencją do istniejącego u Zamawiającego serwera dawek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322986" w:rsidRDefault="000A6781" w:rsidP="00554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0531F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31F" w:rsidRPr="00CD7C29" w:rsidRDefault="0020531F" w:rsidP="005334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31F" w:rsidRPr="00CD7C29" w:rsidRDefault="0020531F" w:rsidP="0020531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Podłączenie wraz z niezbędną bezterminową licencją do istniejącego u Zamawiającego oprogramowania do rejestrowania i raportowania ilości podanego środka cieniującego badanych pacjentów.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31F" w:rsidRPr="00CD7C29" w:rsidRDefault="0020531F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20531F" w:rsidRPr="00CD7C29" w:rsidRDefault="0020531F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31F" w:rsidRPr="00CD7C29" w:rsidRDefault="0020531F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31F" w:rsidRPr="00322986" w:rsidRDefault="0020531F" w:rsidP="00533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A6781" w:rsidRPr="00CD7C29" w:rsidTr="007D6FA0">
        <w:trPr>
          <w:trHeight w:val="497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B7653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Integracja z systemem PACS/RIS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Zdalna diagnostyka serwisowa tomografu komputerowego z możliwością oceny technicznej poszczególnych modułów.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rPr>
          <w:trHeight w:val="114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fantomów do kalibracji i kontroli jakości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B7653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OLE_LINK1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wstrzykiwacz środka cieniującego i soli fizjologicznej współpracujący z materiałami zużywalnymi o certyfikowanej sterylności przez min. 24 godziny w wykorzystaniem wyłącznie materiałów eksploatacyjnych nie zawierających związków DEHP (</w:t>
            </w:r>
            <w:proofErr w:type="spellStart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ftalanydietylohekylu</w:t>
            </w:r>
            <w:proofErr w:type="spellEnd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). Pobieranie środka cieniującego i roztworu NaCl bezpośrednio z oryginalnych opakowań różnych producentów środków cieniujących bez konieczności przelewania ich do </w:t>
            </w:r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specjalistycznych wkładów. Możliwość pracy na zasilaniu bateryjnym oraz bezprzewodowa komunikacja. Sprzężenie z tomografem w klasie min. 4 wg </w:t>
            </w:r>
            <w:proofErr w:type="spellStart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</w:t>
            </w:r>
            <w:proofErr w:type="spellEnd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425.</w:t>
            </w:r>
            <w:bookmarkEnd w:id="1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Tak,</w:t>
            </w:r>
          </w:p>
          <w:p w:rsidR="000A6781" w:rsidRPr="00CD7C29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podać producenta i model</w:t>
            </w:r>
          </w:p>
          <w:p w:rsidR="000A6781" w:rsidRPr="00CD7C29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043715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636A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36A" w:rsidRPr="00CD7C29" w:rsidRDefault="00C0636A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36A" w:rsidRPr="00CA34CA" w:rsidRDefault="0053344E" w:rsidP="00CA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wyposażone w wewnętrzny UPS pozwalający na bezpieczne zakończenie pracy w przypadku awarii zasilania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36A" w:rsidRPr="00CD7C29" w:rsidRDefault="0053344E" w:rsidP="00CA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36A" w:rsidRDefault="00C0636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36A" w:rsidRPr="00043715" w:rsidRDefault="00C0636A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34CA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4CA" w:rsidRPr="00CD7C29" w:rsidRDefault="00CA34CA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4CA" w:rsidRPr="0053344E" w:rsidRDefault="00CA34CA" w:rsidP="00CA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 ochronny radiologiczny - 2 sztuki, rozmiar 50x100 cm (+/- 5cm), ekwiwalent ołowiu: 0,5 </w:t>
            </w:r>
            <w:proofErr w:type="spellStart"/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mmPb</w:t>
            </w:r>
            <w:proofErr w:type="spellEnd"/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A34CA" w:rsidRPr="0053344E" w:rsidRDefault="00CA34CA" w:rsidP="00CA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na tarczycę – 2 sztuki, rozmiar M (ślimak średni), ekwiwalent ołowiu 0,5 mm Pb.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34CA" w:rsidRPr="00CD7C29" w:rsidRDefault="00CA34CA" w:rsidP="00CA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</w:t>
            </w:r>
          </w:p>
          <w:p w:rsidR="00CA34CA" w:rsidRPr="00CD7C29" w:rsidRDefault="00CA34CA" w:rsidP="00CA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podać producenta i model</w:t>
            </w:r>
          </w:p>
          <w:p w:rsidR="00CA34CA" w:rsidRPr="00CD7C29" w:rsidRDefault="00CA34CA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4CA" w:rsidRDefault="00CA34C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34CA" w:rsidRPr="00043715" w:rsidRDefault="00CA34CA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53344E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Szkolenia</w:t>
            </w: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53344E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personelu w zakresie skutecznego </w:t>
            </w:r>
          </w:p>
          <w:p w:rsidR="000A6781" w:rsidRPr="0053344E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bezpiecznego użytkowania:</w:t>
            </w:r>
          </w:p>
          <w:p w:rsidR="000A6781" w:rsidRPr="0053344E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dla lekarzy i techników, w wymiarze 4 dni x 7 godzin,  w nieprzekraczalnym terminie 5 dni od zakończenia instalacji;</w:t>
            </w:r>
          </w:p>
          <w:p w:rsidR="000A6781" w:rsidRPr="0053344E" w:rsidRDefault="000A6781" w:rsidP="006C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zaawansowane w wymiarze 10 dni x 7 godzin, w terminie uzgodnionym z Zamawiającym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3E0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3E0" w:rsidRPr="00CD7C29" w:rsidRDefault="005E23E0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53344E" w:rsidRDefault="005E23E0" w:rsidP="00D16E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44E">
              <w:rPr>
                <w:rFonts w:ascii="Arial" w:hAnsi="Arial" w:cs="Arial"/>
                <w:sz w:val="20"/>
                <w:szCs w:val="20"/>
              </w:rPr>
              <w:t xml:space="preserve">Dodatkowe wyjazdowe szkolenie w ośrodku posiadającym system tej samej klasy dla min. 3 lekarzy i min. 3 techników w wymiarze min. </w:t>
            </w:r>
            <w:r w:rsidR="00D16E92" w:rsidRPr="0053344E">
              <w:rPr>
                <w:rFonts w:ascii="Arial" w:hAnsi="Arial" w:cs="Arial"/>
                <w:sz w:val="20"/>
                <w:szCs w:val="20"/>
              </w:rPr>
              <w:t>5</w:t>
            </w:r>
            <w:r w:rsidRPr="0053344E">
              <w:rPr>
                <w:rFonts w:ascii="Arial" w:hAnsi="Arial" w:cs="Arial"/>
                <w:sz w:val="20"/>
                <w:szCs w:val="20"/>
              </w:rPr>
              <w:t xml:space="preserve"> dni.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67168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3E0" w:rsidRDefault="005E23E0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3E0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3E0" w:rsidRPr="00CD7C29" w:rsidRDefault="005E23E0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5E2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do posiadanego przez Użytkownika systemu ultrasonograficznego do fuzji (nakładania) obrazów DICOM z tomografu komputerowego na obrazy USG. Transfer obrazów DICOM z płyty DVD lub USB,  lub z sieci poprzez DICOM Query/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67168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3E0" w:rsidRDefault="005E23E0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hAnsi="Arial" w:cs="Arial"/>
                <w:sz w:val="20"/>
                <w:szCs w:val="20"/>
              </w:rPr>
              <w:t>Certyfikat CE oraz deklaracja zgodności CE na oferowany tomograf komputerowy oraz strzykawkę automatyczną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hAnsi="Arial" w:cs="Arial"/>
                <w:sz w:val="20"/>
                <w:szCs w:val="20"/>
              </w:rPr>
              <w:t>Tak, podać numer oraz datę wystawienia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7D6FA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547616" w:rsidP="00547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warunki i w</w:t>
            </w:r>
            <w:r w:rsidR="000A6781"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arunki gwarancji</w:t>
            </w:r>
          </w:p>
        </w:tc>
      </w:tr>
      <w:tr w:rsidR="000A6781" w:rsidRPr="00CD7C29" w:rsidTr="007D6FA0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Instrukcja obsługi przedmiotu zamówienia </w:t>
            </w:r>
          </w:p>
          <w:p w:rsidR="000A6781" w:rsidRPr="00CD7C29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FB669C" w:rsidTr="007D6FA0">
        <w:trPr>
          <w:trHeight w:val="62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FB669C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FB669C" w:rsidRDefault="000A6781" w:rsidP="008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gwarancja na wszystkie elementy systemu włącznie z lampą RTG (bez żadnych ograniczeń i limitu skanów)</w:t>
            </w:r>
            <w:r w:rsid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wyspecyfikowane w tabeli wyposażenie aparatu</w:t>
            </w:r>
            <w:r w:rsidR="008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oprogramowanie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FB669C" w:rsidRDefault="000A6781" w:rsidP="0067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Tak, </w:t>
            </w:r>
          </w:p>
          <w:p w:rsidR="000A6781" w:rsidRPr="00FB669C" w:rsidRDefault="000A6781" w:rsidP="0067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24 miesięcy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FB669C" w:rsidRDefault="00FB669C" w:rsidP="00A951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9C">
              <w:rPr>
                <w:rFonts w:ascii="Arial" w:hAnsi="Arial" w:cs="Arial"/>
                <w:i/>
                <w:color w:val="FF0000"/>
              </w:rPr>
              <w:t>(dodatkowy okres gwarancji będzie punktowany zgodnie z kryterium oceny ofert opisanym pkt.38 SWZ.)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D57E9A" w:rsidRDefault="00D57E9A" w:rsidP="006716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57E9A">
              <w:rPr>
                <w:rFonts w:ascii="Arial" w:eastAsia="Calibri" w:hAnsi="Arial" w:cs="Arial"/>
                <w:b/>
                <w:i/>
                <w:color w:val="FF0000"/>
                <w:u w:val="single"/>
              </w:rPr>
              <w:t>Dodatkowy okres</w:t>
            </w:r>
            <w:r w:rsidRPr="00D57E9A">
              <w:rPr>
                <w:rFonts w:ascii="Arial" w:eastAsia="Calibri" w:hAnsi="Arial" w:cs="Arial"/>
                <w:i/>
                <w:color w:val="FF0000"/>
              </w:rPr>
              <w:t xml:space="preserve"> </w:t>
            </w:r>
            <w:r w:rsidRPr="00D57E9A">
              <w:rPr>
                <w:rFonts w:ascii="Arial" w:eastAsia="Calibri" w:hAnsi="Arial" w:cs="Arial"/>
                <w:b/>
                <w:i/>
                <w:color w:val="FF0000"/>
                <w:u w:val="single"/>
              </w:rPr>
              <w:t xml:space="preserve">gwarancji </w:t>
            </w:r>
            <w:r w:rsidRPr="00D57E9A">
              <w:rPr>
                <w:rFonts w:ascii="Arial" w:eastAsia="Calibri" w:hAnsi="Arial" w:cs="Arial"/>
                <w:i/>
                <w:color w:val="FF0000"/>
              </w:rPr>
              <w:t>ponad minimalny należy podać w formularzu ofertowym</w:t>
            </w:r>
          </w:p>
        </w:tc>
      </w:tr>
    </w:tbl>
    <w:p w:rsidR="009541A2" w:rsidRPr="00FB669C" w:rsidRDefault="009541A2" w:rsidP="00954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669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541A2" w:rsidRPr="00FB669C" w:rsidRDefault="009541A2" w:rsidP="009541A2">
      <w:pPr>
        <w:autoSpaceDE w:val="0"/>
        <w:autoSpaceDN w:val="0"/>
        <w:adjustRightInd w:val="0"/>
        <w:ind w:right="58"/>
        <w:jc w:val="both"/>
        <w:rPr>
          <w:rFonts w:ascii="Arial" w:eastAsia="Arial Unicode MS" w:hAnsi="Arial" w:cs="Arial"/>
        </w:rPr>
      </w:pPr>
      <w:r w:rsidRPr="00FB669C">
        <w:rPr>
          <w:rFonts w:ascii="Arial" w:eastAsia="Arial Unicode MS" w:hAnsi="Arial" w:cs="Arial"/>
        </w:rPr>
        <w:t>Parametry wymagane stanowią parametry graniczne / odcinające</w:t>
      </w:r>
      <w:r w:rsidR="005027BE" w:rsidRPr="00FB669C">
        <w:rPr>
          <w:rFonts w:ascii="Arial" w:eastAsia="Arial Unicode MS" w:hAnsi="Arial" w:cs="Arial"/>
        </w:rPr>
        <w:t xml:space="preserve"> – nie spełnienie nawet jednego</w:t>
      </w:r>
      <w:r w:rsidRPr="00FB669C">
        <w:rPr>
          <w:rFonts w:ascii="Arial" w:eastAsia="Arial Unicode MS" w:hAnsi="Arial" w:cs="Arial"/>
        </w:rPr>
        <w:t xml:space="preserve"> z w/w parametrów spowoduje odrzucenie oferty. Brak opisu traktowany będzie jako brak danego parametru w oferowanej konfiguracji urządzenia.</w:t>
      </w:r>
    </w:p>
    <w:p w:rsidR="009541A2" w:rsidRPr="00FB669C" w:rsidRDefault="009541A2" w:rsidP="009541A2">
      <w:pPr>
        <w:jc w:val="both"/>
        <w:rPr>
          <w:rFonts w:ascii="Arial" w:hAnsi="Arial" w:cs="Arial"/>
        </w:rPr>
      </w:pPr>
      <w:r w:rsidRPr="00FB669C">
        <w:rPr>
          <w:rFonts w:ascii="Arial" w:hAnsi="Arial" w:cs="Arial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0C17F9" w:rsidRPr="00FB669C" w:rsidRDefault="000C17F9" w:rsidP="009541A2">
      <w:pPr>
        <w:jc w:val="both"/>
        <w:rPr>
          <w:rFonts w:ascii="Arial" w:hAnsi="Arial" w:cs="Arial"/>
        </w:rPr>
      </w:pPr>
    </w:p>
    <w:p w:rsidR="000C17F9" w:rsidRPr="00FB669C" w:rsidRDefault="000C17F9" w:rsidP="000C17F9">
      <w:pPr>
        <w:rPr>
          <w:rFonts w:ascii="Arial" w:hAnsi="Arial" w:cs="Arial"/>
          <w:color w:val="002060"/>
        </w:rPr>
      </w:pPr>
      <w:r w:rsidRPr="00FB669C">
        <w:rPr>
          <w:rFonts w:ascii="Arial" w:hAnsi="Arial" w:cs="Arial"/>
          <w:color w:val="002060"/>
        </w:rPr>
        <w:t>Serwis gwarancyjny i pogwarancyjny prowadzi…………………………………....... (uzupełnić)</w:t>
      </w:r>
    </w:p>
    <w:p w:rsidR="000C17F9" w:rsidRPr="00FB669C" w:rsidRDefault="000C17F9" w:rsidP="000C17F9">
      <w:pPr>
        <w:autoSpaceDE w:val="0"/>
        <w:autoSpaceDN w:val="0"/>
        <w:adjustRightInd w:val="0"/>
        <w:ind w:right="58"/>
        <w:jc w:val="both"/>
        <w:rPr>
          <w:rFonts w:ascii="Arial" w:eastAsia="Arial Unicode MS" w:hAnsi="Arial" w:cs="Arial"/>
        </w:rPr>
      </w:pPr>
      <w:r w:rsidRPr="00FB669C">
        <w:rPr>
          <w:rFonts w:ascii="Arial" w:eastAsia="Arial Unicode MS" w:hAnsi="Arial" w:cs="Aria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0C17F9" w:rsidRPr="0015512A" w:rsidRDefault="000C17F9" w:rsidP="0015512A">
      <w:pPr>
        <w:jc w:val="both"/>
        <w:rPr>
          <w:rFonts w:ascii="Arial" w:eastAsia="Calibri" w:hAnsi="Arial" w:cs="Arial"/>
          <w:b/>
        </w:rPr>
      </w:pPr>
      <w:r w:rsidRPr="00FB669C">
        <w:rPr>
          <w:rFonts w:ascii="Arial" w:hAnsi="Arial" w:cs="Arial"/>
        </w:rPr>
        <w:t>Oświadczamy, że oferowane, powyżej wyspecyfikowane, urządzenie jest kompletne i po zainstalowaniu będzie gotowe do pracy zgodnie z przeznaczeniem bez żadnych dod</w:t>
      </w:r>
      <w:r w:rsidR="0015512A">
        <w:rPr>
          <w:rFonts w:ascii="Arial" w:hAnsi="Arial" w:cs="Arial"/>
        </w:rPr>
        <w:t>atkowych zakupów inwestycyjnych</w:t>
      </w:r>
    </w:p>
    <w:sectPr w:rsidR="000C17F9" w:rsidRPr="0015512A" w:rsidSect="00D143B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D4" w:rsidRDefault="009045D4" w:rsidP="002A7426">
      <w:pPr>
        <w:spacing w:after="0" w:line="240" w:lineRule="auto"/>
      </w:pPr>
      <w:r>
        <w:separator/>
      </w:r>
    </w:p>
  </w:endnote>
  <w:endnote w:type="continuationSeparator" w:id="0">
    <w:p w:rsidR="009045D4" w:rsidRDefault="009045D4" w:rsidP="002A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D4" w:rsidRDefault="009045D4" w:rsidP="002A7426">
      <w:pPr>
        <w:spacing w:after="0" w:line="240" w:lineRule="auto"/>
      </w:pPr>
      <w:r>
        <w:separator/>
      </w:r>
    </w:p>
  </w:footnote>
  <w:footnote w:type="continuationSeparator" w:id="0">
    <w:p w:rsidR="009045D4" w:rsidRDefault="009045D4" w:rsidP="002A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97" w:rsidRDefault="00597497">
    <w:pPr>
      <w:pStyle w:val="Nagwek"/>
    </w:pPr>
  </w:p>
  <w:p w:rsidR="00597497" w:rsidRDefault="005974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97D"/>
    <w:multiLevelType w:val="multilevel"/>
    <w:tmpl w:val="AEC2D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Letter"/>
      <w:lvlText w:val="%6."/>
      <w:lvlJc w:val="left"/>
      <w:pPr>
        <w:ind w:left="2880" w:hanging="360"/>
      </w:pPr>
    </w:lvl>
    <w:lvl w:ilvl="6">
      <w:start w:val="1"/>
      <w:numFmt w:val="lowerLetter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Letter"/>
      <w:lvlText w:val="%9."/>
      <w:lvlJc w:val="left"/>
      <w:pPr>
        <w:ind w:left="3960" w:hanging="360"/>
      </w:pPr>
    </w:lvl>
  </w:abstractNum>
  <w:abstractNum w:abstractNumId="1" w15:restartNumberingAfterBreak="0">
    <w:nsid w:val="155D478D"/>
    <w:multiLevelType w:val="hybridMultilevel"/>
    <w:tmpl w:val="3A7E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1888"/>
    <w:multiLevelType w:val="hybridMultilevel"/>
    <w:tmpl w:val="7C24114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EEC48CA"/>
    <w:multiLevelType w:val="hybridMultilevel"/>
    <w:tmpl w:val="83BA1C2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794667D"/>
    <w:multiLevelType w:val="multilevel"/>
    <w:tmpl w:val="0EF6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746218"/>
    <w:multiLevelType w:val="hybridMultilevel"/>
    <w:tmpl w:val="D878089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3D41354F"/>
    <w:multiLevelType w:val="hybridMultilevel"/>
    <w:tmpl w:val="961AD3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00077B"/>
    <w:multiLevelType w:val="hybridMultilevel"/>
    <w:tmpl w:val="5484D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2C09"/>
    <w:multiLevelType w:val="hybridMultilevel"/>
    <w:tmpl w:val="0BD2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C"/>
    <w:rsid w:val="00043715"/>
    <w:rsid w:val="00047012"/>
    <w:rsid w:val="0006256D"/>
    <w:rsid w:val="00062DBE"/>
    <w:rsid w:val="00070B29"/>
    <w:rsid w:val="00095C60"/>
    <w:rsid w:val="000A6781"/>
    <w:rsid w:val="000C17F9"/>
    <w:rsid w:val="000C40E1"/>
    <w:rsid w:val="00107549"/>
    <w:rsid w:val="00124182"/>
    <w:rsid w:val="00127884"/>
    <w:rsid w:val="001543E7"/>
    <w:rsid w:val="0015512A"/>
    <w:rsid w:val="0019428F"/>
    <w:rsid w:val="001B26A1"/>
    <w:rsid w:val="001B347A"/>
    <w:rsid w:val="0020531F"/>
    <w:rsid w:val="002379D1"/>
    <w:rsid w:val="00241327"/>
    <w:rsid w:val="00247A36"/>
    <w:rsid w:val="002A2CCC"/>
    <w:rsid w:val="002A7426"/>
    <w:rsid w:val="002C2F0F"/>
    <w:rsid w:val="00322986"/>
    <w:rsid w:val="00364445"/>
    <w:rsid w:val="00385336"/>
    <w:rsid w:val="00385500"/>
    <w:rsid w:val="003A07D4"/>
    <w:rsid w:val="003B23EC"/>
    <w:rsid w:val="003E3256"/>
    <w:rsid w:val="00414A7D"/>
    <w:rsid w:val="00432835"/>
    <w:rsid w:val="00456FBD"/>
    <w:rsid w:val="00485EDB"/>
    <w:rsid w:val="004B5BC7"/>
    <w:rsid w:val="004D0A65"/>
    <w:rsid w:val="004D42B7"/>
    <w:rsid w:val="005027BE"/>
    <w:rsid w:val="0053344E"/>
    <w:rsid w:val="00547616"/>
    <w:rsid w:val="00550A8E"/>
    <w:rsid w:val="00554A0A"/>
    <w:rsid w:val="00556B7A"/>
    <w:rsid w:val="005763C5"/>
    <w:rsid w:val="0059088E"/>
    <w:rsid w:val="00591152"/>
    <w:rsid w:val="00597497"/>
    <w:rsid w:val="005B3036"/>
    <w:rsid w:val="005E0162"/>
    <w:rsid w:val="005E23E0"/>
    <w:rsid w:val="0060236B"/>
    <w:rsid w:val="00622C81"/>
    <w:rsid w:val="00634758"/>
    <w:rsid w:val="00640B27"/>
    <w:rsid w:val="006609B4"/>
    <w:rsid w:val="00671680"/>
    <w:rsid w:val="00685210"/>
    <w:rsid w:val="006A4DAF"/>
    <w:rsid w:val="006C03F6"/>
    <w:rsid w:val="006E79CB"/>
    <w:rsid w:val="00722B7B"/>
    <w:rsid w:val="00744146"/>
    <w:rsid w:val="007621CB"/>
    <w:rsid w:val="00763F3A"/>
    <w:rsid w:val="007708EF"/>
    <w:rsid w:val="0077457B"/>
    <w:rsid w:val="00785E3C"/>
    <w:rsid w:val="00793137"/>
    <w:rsid w:val="00793141"/>
    <w:rsid w:val="0079389B"/>
    <w:rsid w:val="007A11B9"/>
    <w:rsid w:val="007A3227"/>
    <w:rsid w:val="007B542E"/>
    <w:rsid w:val="007D6FA0"/>
    <w:rsid w:val="007E781E"/>
    <w:rsid w:val="008122EE"/>
    <w:rsid w:val="00875A13"/>
    <w:rsid w:val="00875F95"/>
    <w:rsid w:val="00882D6B"/>
    <w:rsid w:val="009045D4"/>
    <w:rsid w:val="00906E98"/>
    <w:rsid w:val="009248C6"/>
    <w:rsid w:val="00936A99"/>
    <w:rsid w:val="009541A2"/>
    <w:rsid w:val="0096250C"/>
    <w:rsid w:val="0096397F"/>
    <w:rsid w:val="00975E10"/>
    <w:rsid w:val="00996307"/>
    <w:rsid w:val="009A18D7"/>
    <w:rsid w:val="009A4679"/>
    <w:rsid w:val="009A4EC3"/>
    <w:rsid w:val="009A51F3"/>
    <w:rsid w:val="009B0894"/>
    <w:rsid w:val="00A02F1B"/>
    <w:rsid w:val="00A5009B"/>
    <w:rsid w:val="00A65AA6"/>
    <w:rsid w:val="00A751AD"/>
    <w:rsid w:val="00A93259"/>
    <w:rsid w:val="00A951EA"/>
    <w:rsid w:val="00AB6EF9"/>
    <w:rsid w:val="00AD470C"/>
    <w:rsid w:val="00AE0828"/>
    <w:rsid w:val="00AE1EA7"/>
    <w:rsid w:val="00B00B97"/>
    <w:rsid w:val="00B22F86"/>
    <w:rsid w:val="00B23024"/>
    <w:rsid w:val="00B67C2A"/>
    <w:rsid w:val="00B76532"/>
    <w:rsid w:val="00C0636A"/>
    <w:rsid w:val="00C1119F"/>
    <w:rsid w:val="00C120D5"/>
    <w:rsid w:val="00C1440F"/>
    <w:rsid w:val="00C65A6D"/>
    <w:rsid w:val="00C7531B"/>
    <w:rsid w:val="00CA34CA"/>
    <w:rsid w:val="00CB7B4A"/>
    <w:rsid w:val="00CD7308"/>
    <w:rsid w:val="00CD7C29"/>
    <w:rsid w:val="00D1318D"/>
    <w:rsid w:val="00D143B7"/>
    <w:rsid w:val="00D16E92"/>
    <w:rsid w:val="00D31804"/>
    <w:rsid w:val="00D57E9A"/>
    <w:rsid w:val="00D81C78"/>
    <w:rsid w:val="00DC2AE5"/>
    <w:rsid w:val="00DD580A"/>
    <w:rsid w:val="00E05956"/>
    <w:rsid w:val="00E40A13"/>
    <w:rsid w:val="00E7600A"/>
    <w:rsid w:val="00E95CCD"/>
    <w:rsid w:val="00EA157D"/>
    <w:rsid w:val="00EB5A3E"/>
    <w:rsid w:val="00EF4304"/>
    <w:rsid w:val="00F4219A"/>
    <w:rsid w:val="00F85CB7"/>
    <w:rsid w:val="00F94982"/>
    <w:rsid w:val="00FA443D"/>
    <w:rsid w:val="00FB669C"/>
    <w:rsid w:val="00FB7D87"/>
    <w:rsid w:val="00FF065D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B4F8-1332-453F-B91E-6AAC099C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143B7"/>
  </w:style>
  <w:style w:type="paragraph" w:customStyle="1" w:styleId="msonormal0">
    <w:name w:val="msonormal"/>
    <w:basedOn w:val="Normalny"/>
    <w:rsid w:val="00D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143B7"/>
  </w:style>
  <w:style w:type="paragraph" w:styleId="Nagwek">
    <w:name w:val="header"/>
    <w:basedOn w:val="Normalny"/>
    <w:link w:val="NagwekZnak"/>
    <w:uiPriority w:val="99"/>
    <w:unhideWhenUsed/>
    <w:rsid w:val="002A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426"/>
  </w:style>
  <w:style w:type="paragraph" w:styleId="Stopka">
    <w:name w:val="footer"/>
    <w:basedOn w:val="Normalny"/>
    <w:link w:val="StopkaZnak"/>
    <w:uiPriority w:val="99"/>
    <w:unhideWhenUsed/>
    <w:rsid w:val="002A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426"/>
  </w:style>
  <w:style w:type="paragraph" w:customStyle="1" w:styleId="Normalny1">
    <w:name w:val="Normalny1"/>
    <w:rsid w:val="00AE0828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79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141"/>
    <w:pPr>
      <w:ind w:left="720"/>
      <w:contextualSpacing/>
    </w:pPr>
  </w:style>
  <w:style w:type="paragraph" w:customStyle="1" w:styleId="normalny10">
    <w:name w:val="normalny1"/>
    <w:basedOn w:val="Normalny"/>
    <w:rsid w:val="0079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A2"/>
    <w:rPr>
      <w:rFonts w:ascii="Segoe UI" w:hAnsi="Segoe UI" w:cs="Segoe UI"/>
      <w:sz w:val="18"/>
      <w:szCs w:val="18"/>
    </w:rPr>
  </w:style>
  <w:style w:type="paragraph" w:customStyle="1" w:styleId="gwpf4fdf591msonormal">
    <w:name w:val="gwpf4fdf591_msonormal"/>
    <w:basedOn w:val="Normalny"/>
    <w:rsid w:val="00A6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F7A3-79BE-436C-8534-2534E873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3779</Words>
  <Characters>22676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ekwasniewska</cp:lastModifiedBy>
  <cp:revision>16</cp:revision>
  <cp:lastPrinted>2019-10-08T09:16:00Z</cp:lastPrinted>
  <dcterms:created xsi:type="dcterms:W3CDTF">2022-06-30T08:03:00Z</dcterms:created>
  <dcterms:modified xsi:type="dcterms:W3CDTF">2022-08-16T06:49:00Z</dcterms:modified>
</cp:coreProperties>
</file>