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276D16" w:rsidRDefault="00276D16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D472AC">
        <w:rPr>
          <w:b/>
          <w:bCs/>
          <w:sz w:val="22"/>
          <w:szCs w:val="22"/>
          <w:lang w:eastAsia="zh-CN"/>
        </w:rPr>
        <w:t>160</w:t>
      </w:r>
      <w:r w:rsidR="00EE2FEF" w:rsidRPr="00276D16">
        <w:rPr>
          <w:b/>
          <w:bCs/>
          <w:sz w:val="22"/>
          <w:szCs w:val="22"/>
          <w:lang w:eastAsia="zh-CN"/>
        </w:rPr>
        <w:t>/2022</w:t>
      </w:r>
      <w:r w:rsidR="009604D8" w:rsidRPr="00276D16">
        <w:rPr>
          <w:b/>
          <w:bCs/>
          <w:sz w:val="22"/>
          <w:szCs w:val="22"/>
          <w:lang w:eastAsia="zh-CN"/>
        </w:rPr>
        <w:t>/EK</w:t>
      </w:r>
    </w:p>
    <w:p w:rsidR="00E67BE7" w:rsidRPr="00276D16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276D16">
        <w:rPr>
          <w:color w:val="FF0000"/>
          <w:sz w:val="22"/>
          <w:szCs w:val="22"/>
          <w:lang w:eastAsia="zh-CN"/>
        </w:rPr>
        <w:t>Załącznik nr 2</w:t>
      </w:r>
      <w:r w:rsidR="00774356">
        <w:rPr>
          <w:color w:val="FF0000"/>
          <w:sz w:val="22"/>
          <w:szCs w:val="22"/>
          <w:lang w:eastAsia="zh-CN"/>
        </w:rPr>
        <w:t>.</w:t>
      </w:r>
      <w:r w:rsidR="00CC2988">
        <w:rPr>
          <w:color w:val="FF0000"/>
          <w:sz w:val="22"/>
          <w:szCs w:val="22"/>
          <w:lang w:eastAsia="zh-CN"/>
        </w:rPr>
        <w:t>3</w:t>
      </w:r>
      <w:r w:rsidR="004F4D45" w:rsidRPr="00276D16">
        <w:rPr>
          <w:color w:val="FF0000"/>
          <w:sz w:val="22"/>
          <w:szCs w:val="22"/>
          <w:lang w:eastAsia="zh-CN"/>
        </w:rPr>
        <w:t xml:space="preserve"> do S</w:t>
      </w:r>
      <w:r w:rsidRPr="00276D16">
        <w:rPr>
          <w:color w:val="FF0000"/>
          <w:sz w:val="22"/>
          <w:szCs w:val="22"/>
          <w:lang w:eastAsia="zh-CN"/>
        </w:rPr>
        <w:t>WZ</w:t>
      </w:r>
    </w:p>
    <w:p w:rsidR="00E67BE7" w:rsidRPr="00276D1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 w:rsidRPr="00276D16">
        <w:rPr>
          <w:sz w:val="22"/>
          <w:szCs w:val="22"/>
          <w:u w:val="single"/>
          <w:lang w:eastAsia="zh-CN"/>
        </w:rPr>
        <w:t>Załącznik nr 1 do umowy)</w:t>
      </w:r>
    </w:p>
    <w:p w:rsidR="002A181F" w:rsidRPr="00276D16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5026F9" w:rsidRPr="00276D16" w:rsidRDefault="00774356" w:rsidP="005026F9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PAKIET NR </w:t>
      </w:r>
      <w:r w:rsidR="00CC2988">
        <w:rPr>
          <w:b/>
          <w:bCs/>
          <w:sz w:val="22"/>
          <w:szCs w:val="22"/>
          <w:lang w:eastAsia="zh-CN"/>
        </w:rPr>
        <w:t>3</w:t>
      </w:r>
    </w:p>
    <w:p w:rsidR="0026716A" w:rsidRPr="00276D16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 xml:space="preserve">(Wymagane </w:t>
      </w:r>
      <w:r w:rsidR="00F06C3C" w:rsidRPr="00276D16">
        <w:rPr>
          <w:b/>
          <w:bCs/>
          <w:sz w:val="22"/>
          <w:szCs w:val="22"/>
        </w:rPr>
        <w:t xml:space="preserve">minimalne </w:t>
      </w:r>
      <w:r w:rsidRPr="00276D16">
        <w:rPr>
          <w:b/>
          <w:bCs/>
          <w:sz w:val="22"/>
          <w:szCs w:val="22"/>
        </w:rPr>
        <w:t>parametry techniczno-funkcjonalne)</w:t>
      </w:r>
    </w:p>
    <w:p w:rsidR="00E67BE7" w:rsidRPr="00276D16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43DC0" w:rsidRPr="00276D16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774356" w:rsidRPr="00276D16" w:rsidRDefault="00CC2988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 xml:space="preserve">Zestaw komputerowy </w:t>
      </w:r>
      <w:r>
        <w:rPr>
          <w:b/>
          <w:sz w:val="22"/>
          <w:szCs w:val="22"/>
        </w:rPr>
        <w:t xml:space="preserve"> – 15</w:t>
      </w:r>
      <w:r w:rsidR="00774356">
        <w:rPr>
          <w:b/>
          <w:sz w:val="22"/>
          <w:szCs w:val="22"/>
        </w:rPr>
        <w:t xml:space="preserve"> sztuk</w:t>
      </w:r>
    </w:p>
    <w:p w:rsidR="00276D16" w:rsidRP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276D16" w:rsidRPr="00AD58B1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AD58B1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AD58B1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B1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AD58B1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B1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AD58B1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B1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76D16" w:rsidRPr="00AD58B1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AD58B1" w:rsidRDefault="00276D16" w:rsidP="00AD58B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AD58B1" w:rsidRDefault="00276D16" w:rsidP="00AD58B1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AD58B1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AD58B1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B1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AD58B1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AD58B1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AD58B1" w:rsidRDefault="00276D16" w:rsidP="00AD58B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AD58B1" w:rsidRDefault="00276D16" w:rsidP="00AD58B1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AD58B1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AD58B1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B1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AD58B1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2988" w:rsidRPr="00AD58B1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988" w:rsidRPr="00AD58B1" w:rsidRDefault="00CC2988" w:rsidP="00AD58B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988" w:rsidRPr="00AD58B1" w:rsidRDefault="00CC2988" w:rsidP="00AD58B1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AD58B1">
              <w:rPr>
                <w:rFonts w:ascii="Times New Roman" w:hAnsi="Times New Roman"/>
                <w:bCs/>
                <w:color w:val="000000"/>
              </w:rPr>
              <w:t>Symbol (kod producenta)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988" w:rsidRPr="00AD58B1" w:rsidRDefault="00453951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B1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988" w:rsidRPr="00AD58B1" w:rsidRDefault="00CC2988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6D16" w:rsidRPr="00AD58B1" w:rsidRDefault="00276D16" w:rsidP="00AD58B1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607"/>
        <w:gridCol w:w="1633"/>
        <w:gridCol w:w="1740"/>
      </w:tblGrid>
      <w:tr w:rsidR="00276D16" w:rsidRPr="00AD58B1" w:rsidTr="00AD58B1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AD58B1" w:rsidRDefault="00276D16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AD58B1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6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AD58B1" w:rsidRDefault="00A80F58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D58B1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AD58B1" w:rsidRDefault="00276D16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D58B1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AD58B1" w:rsidRDefault="00276D16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D58B1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276D16" w:rsidRPr="00AD58B1" w:rsidTr="00AD58B1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16" w:rsidRPr="00AD58B1" w:rsidRDefault="00276D1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16" w:rsidRPr="00AD58B1" w:rsidRDefault="00CC2988" w:rsidP="0045395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D58B1">
              <w:rPr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16" w:rsidRPr="00AD58B1" w:rsidRDefault="00453951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XXXXX</w:t>
            </w:r>
            <w:r w:rsidR="00276D16" w:rsidRPr="00AD58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16" w:rsidRPr="00AD58B1" w:rsidRDefault="00276D16" w:rsidP="00AD58B1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AD58B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73DDC" w:rsidRPr="00AD58B1" w:rsidTr="00AD58B1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AD58B1" w:rsidRDefault="00073DDC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AD58B1" w:rsidRDefault="00CC2988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 xml:space="preserve">Komputer stacjonarny w konfiguracji fabrycznej.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AD58B1" w:rsidRDefault="00073DDC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AD58B1" w:rsidRDefault="00073DDC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 </w:t>
            </w:r>
          </w:p>
        </w:tc>
      </w:tr>
      <w:tr w:rsidR="00073DDC" w:rsidRPr="00AD58B1" w:rsidTr="00AD58B1">
        <w:trPr>
          <w:trHeight w:val="7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AD58B1" w:rsidRDefault="00073DDC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AD58B1" w:rsidRDefault="00CC2988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 xml:space="preserve">Procesor dedykowany do pracy w komputerach stacjonarnych. Procesor osiągający w teście </w:t>
            </w:r>
            <w:proofErr w:type="spellStart"/>
            <w:r w:rsidRPr="00AD58B1">
              <w:rPr>
                <w:bCs/>
                <w:color w:val="000000"/>
                <w:sz w:val="22"/>
                <w:szCs w:val="22"/>
              </w:rPr>
              <w:t>Passmark</w:t>
            </w:r>
            <w:proofErr w:type="spellEnd"/>
            <w:r w:rsidRPr="00AD58B1">
              <w:rPr>
                <w:bCs/>
                <w:color w:val="000000"/>
                <w:sz w:val="22"/>
                <w:szCs w:val="22"/>
              </w:rPr>
              <w:t xml:space="preserve"> CPU Mark, w kategorii </w:t>
            </w:r>
            <w:proofErr w:type="spellStart"/>
            <w:r w:rsidRPr="00AD58B1">
              <w:rPr>
                <w:bCs/>
                <w:color w:val="000000"/>
                <w:sz w:val="22"/>
                <w:szCs w:val="22"/>
              </w:rPr>
              <w:t>Average</w:t>
            </w:r>
            <w:proofErr w:type="spellEnd"/>
            <w:r w:rsidRPr="00AD58B1">
              <w:rPr>
                <w:bCs/>
                <w:color w:val="000000"/>
                <w:sz w:val="22"/>
                <w:szCs w:val="22"/>
              </w:rPr>
              <w:t xml:space="preserve"> CPU Mark wynik co najmniej 8600 pkt. według wyników opublikowanych na stronie </w:t>
            </w:r>
            <w:hyperlink r:id="rId8" w:history="1">
              <w:r w:rsidRPr="00AD58B1">
                <w:rPr>
                  <w:rStyle w:val="Hipercze"/>
                  <w:bCs/>
                  <w:color w:val="000000"/>
                  <w:sz w:val="22"/>
                  <w:szCs w:val="22"/>
                </w:rPr>
                <w:t>http://www.cpubenchmark.net/cpu_list.php</w:t>
              </w:r>
            </w:hyperlink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AD58B1" w:rsidRDefault="00073DDC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AD58B1" w:rsidRDefault="00073DDC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 </w:t>
            </w:r>
          </w:p>
        </w:tc>
      </w:tr>
      <w:tr w:rsidR="00774356" w:rsidRPr="00AD58B1" w:rsidTr="00AD58B1">
        <w:trPr>
          <w:trHeight w:val="5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56" w:rsidRPr="00AD58B1" w:rsidRDefault="00CC2988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8GB DDR4 2666MHz. Możliwość rozbudowy do min. 64GB. Jeden slot DIMM wolny.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CC298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 </w:t>
            </w:r>
          </w:p>
        </w:tc>
      </w:tr>
      <w:tr w:rsidR="00774356" w:rsidRPr="00AD58B1" w:rsidTr="00AD58B1">
        <w:trPr>
          <w:trHeight w:val="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88" w:rsidRPr="00AD58B1" w:rsidRDefault="00CC2988" w:rsidP="00AD58B1">
            <w:pPr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 xml:space="preserve">Dysk M.2 SSD o pojemności min. 256GB w standardzie </w:t>
            </w:r>
            <w:proofErr w:type="spellStart"/>
            <w:r w:rsidRPr="00AD58B1">
              <w:rPr>
                <w:bCs/>
                <w:color w:val="000000"/>
                <w:sz w:val="22"/>
                <w:szCs w:val="22"/>
              </w:rPr>
              <w:t>PCIe</w:t>
            </w:r>
            <w:proofErr w:type="spellEnd"/>
            <w:r w:rsidRPr="00AD58B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8B1">
              <w:rPr>
                <w:bCs/>
                <w:color w:val="000000"/>
                <w:sz w:val="22"/>
                <w:szCs w:val="22"/>
              </w:rPr>
              <w:t>NVMe</w:t>
            </w:r>
            <w:proofErr w:type="spellEnd"/>
            <w:r w:rsidRPr="00AD58B1">
              <w:rPr>
                <w:bCs/>
                <w:color w:val="000000"/>
                <w:sz w:val="22"/>
                <w:szCs w:val="22"/>
              </w:rPr>
              <w:t>.</w:t>
            </w:r>
          </w:p>
          <w:p w:rsidR="00774356" w:rsidRPr="00AD58B1" w:rsidRDefault="00CC2988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 xml:space="preserve">Obudowa musi umożliwiać montaż dodatkowego dysku </w:t>
            </w:r>
            <w:smartTag w:uri="urn:schemas-microsoft-com:office:smarttags" w:element="metricconverter">
              <w:smartTagPr>
                <w:attr w:name="ProductID" w:val="3.5”"/>
              </w:smartTagPr>
              <w:r w:rsidRPr="00AD58B1">
                <w:rPr>
                  <w:bCs/>
                  <w:color w:val="000000"/>
                  <w:sz w:val="22"/>
                  <w:szCs w:val="22"/>
                </w:rPr>
                <w:t>3.5”</w:t>
              </w:r>
            </w:smartTag>
            <w:r w:rsidRPr="00AD58B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 </w:t>
            </w:r>
          </w:p>
        </w:tc>
      </w:tr>
      <w:tr w:rsidR="00774356" w:rsidRPr="00AD58B1" w:rsidTr="00AD58B1">
        <w:trPr>
          <w:trHeight w:val="33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6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56" w:rsidRPr="00AD58B1" w:rsidRDefault="005B486E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 xml:space="preserve">Zintegrowana karta graficzna </w:t>
            </w:r>
            <w:proofErr w:type="spellStart"/>
            <w:r w:rsidRPr="00AD58B1">
              <w:rPr>
                <w:bCs/>
                <w:color w:val="000000"/>
                <w:sz w:val="22"/>
                <w:szCs w:val="22"/>
              </w:rPr>
              <w:t>osiągajaca</w:t>
            </w:r>
            <w:proofErr w:type="spellEnd"/>
            <w:r w:rsidRPr="00AD58B1">
              <w:rPr>
                <w:bCs/>
                <w:color w:val="000000"/>
                <w:sz w:val="22"/>
                <w:szCs w:val="22"/>
              </w:rPr>
              <w:t xml:space="preserve"> w teście </w:t>
            </w:r>
            <w:proofErr w:type="spellStart"/>
            <w:r w:rsidRPr="00AD58B1">
              <w:rPr>
                <w:bCs/>
                <w:color w:val="000000"/>
                <w:sz w:val="22"/>
                <w:szCs w:val="22"/>
              </w:rPr>
              <w:t>Passmark</w:t>
            </w:r>
            <w:proofErr w:type="spellEnd"/>
            <w:r w:rsidRPr="00AD58B1">
              <w:rPr>
                <w:bCs/>
                <w:color w:val="000000"/>
                <w:sz w:val="22"/>
                <w:szCs w:val="22"/>
              </w:rPr>
              <w:t xml:space="preserve"> G3D Mark, w kategorii </w:t>
            </w:r>
            <w:proofErr w:type="spellStart"/>
            <w:r w:rsidRPr="00AD58B1">
              <w:rPr>
                <w:bCs/>
                <w:color w:val="000000"/>
                <w:sz w:val="22"/>
                <w:szCs w:val="22"/>
              </w:rPr>
              <w:t>Average</w:t>
            </w:r>
            <w:proofErr w:type="spellEnd"/>
            <w:r w:rsidRPr="00AD58B1">
              <w:rPr>
                <w:bCs/>
                <w:color w:val="000000"/>
                <w:sz w:val="22"/>
                <w:szCs w:val="22"/>
              </w:rPr>
              <w:t xml:space="preserve"> G3D Mark wynik co najmniej 1070 pkt. według wyników opublikowanych na stronie </w:t>
            </w:r>
            <w:hyperlink r:id="rId9" w:history="1">
              <w:r w:rsidRPr="00AD58B1">
                <w:rPr>
                  <w:rStyle w:val="Hipercze"/>
                  <w:bCs/>
                  <w:color w:val="000000"/>
                  <w:sz w:val="22"/>
                  <w:szCs w:val="22"/>
                </w:rPr>
                <w:t>https://www.videocardbenchmark.net/gpu_list.php</w:t>
              </w:r>
            </w:hyperlink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 </w:t>
            </w:r>
          </w:p>
        </w:tc>
      </w:tr>
      <w:tr w:rsidR="00774356" w:rsidRPr="00AD58B1" w:rsidTr="00AD58B1">
        <w:trPr>
          <w:trHeight w:val="3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7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56" w:rsidRPr="00AD58B1" w:rsidRDefault="005B486E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 xml:space="preserve">Karta dźwiękowa min. dwukanałowa zintegrowana z płytą główną. Port słuchawek i mikrofonu na przednim panelu, dopuszcza się złącze typu </w:t>
            </w:r>
            <w:proofErr w:type="spellStart"/>
            <w:r w:rsidRPr="00AD58B1">
              <w:rPr>
                <w:bCs/>
                <w:color w:val="000000"/>
                <w:sz w:val="22"/>
                <w:szCs w:val="22"/>
              </w:rPr>
              <w:t>combo</w:t>
            </w:r>
            <w:proofErr w:type="spellEnd"/>
            <w:r w:rsidRPr="00AD58B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 </w:t>
            </w:r>
          </w:p>
        </w:tc>
      </w:tr>
      <w:tr w:rsidR="00774356" w:rsidRPr="00AD58B1" w:rsidTr="00AD58B1">
        <w:trPr>
          <w:trHeight w:val="4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8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86E" w:rsidRPr="00AD58B1" w:rsidRDefault="005B486E" w:rsidP="00AD58B1">
            <w:pPr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 xml:space="preserve">Obudowa typu Small Form </w:t>
            </w:r>
            <w:proofErr w:type="spellStart"/>
            <w:r w:rsidRPr="00AD58B1">
              <w:rPr>
                <w:bCs/>
                <w:color w:val="000000"/>
                <w:sz w:val="22"/>
                <w:szCs w:val="22"/>
              </w:rPr>
              <w:t>Factor</w:t>
            </w:r>
            <w:proofErr w:type="spellEnd"/>
            <w:r w:rsidRPr="00AD58B1">
              <w:rPr>
                <w:bCs/>
                <w:color w:val="000000"/>
                <w:sz w:val="22"/>
                <w:szCs w:val="22"/>
              </w:rPr>
              <w:t xml:space="preserve"> z obsługą kart wyłącznie o niskim profilu. Napęd optyczny zamontowany w dedykowanej wnęce zewnętrznej </w:t>
            </w:r>
            <w:smartTag w:uri="urn:schemas-microsoft-com:office:smarttags" w:element="metricconverter">
              <w:smartTagPr>
                <w:attr w:name="ProductID" w:val="5.25”"/>
              </w:smartTagPr>
              <w:r w:rsidRPr="00AD58B1">
                <w:rPr>
                  <w:bCs/>
                  <w:color w:val="000000"/>
                  <w:sz w:val="22"/>
                  <w:szCs w:val="22"/>
                </w:rPr>
                <w:lastRenderedPageBreak/>
                <w:t>5.25”</w:t>
              </w:r>
            </w:smartTag>
            <w:r w:rsidRPr="00AD58B1">
              <w:rPr>
                <w:bCs/>
                <w:color w:val="000000"/>
                <w:sz w:val="22"/>
                <w:szCs w:val="22"/>
              </w:rPr>
              <w:t xml:space="preserve"> typu </w:t>
            </w:r>
            <w:proofErr w:type="spellStart"/>
            <w:r w:rsidRPr="00AD58B1">
              <w:rPr>
                <w:bCs/>
                <w:color w:val="000000"/>
                <w:sz w:val="22"/>
                <w:szCs w:val="22"/>
              </w:rPr>
              <w:t>slim</w:t>
            </w:r>
            <w:proofErr w:type="spellEnd"/>
            <w:r w:rsidRPr="00AD58B1">
              <w:rPr>
                <w:bCs/>
                <w:color w:val="000000"/>
                <w:sz w:val="22"/>
                <w:szCs w:val="22"/>
              </w:rPr>
              <w:t xml:space="preserve">. Obudowa fabrycznie przystosowana do pracy w orientacji poziomej i pionowej. </w:t>
            </w:r>
          </w:p>
          <w:p w:rsidR="005B486E" w:rsidRPr="00AD58B1" w:rsidRDefault="005B486E" w:rsidP="00AD58B1">
            <w:pPr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 xml:space="preserve">Suma wymiarów obudowy nieprzekraczająca </w:t>
            </w:r>
            <w:smartTag w:uri="urn:schemas-microsoft-com:office:smarttags" w:element="metricconverter">
              <w:smartTagPr>
                <w:attr w:name="ProductID" w:val="690 mm"/>
              </w:smartTagPr>
              <w:r w:rsidRPr="00AD58B1">
                <w:rPr>
                  <w:bCs/>
                  <w:color w:val="000000"/>
                  <w:sz w:val="22"/>
                  <w:szCs w:val="22"/>
                </w:rPr>
                <w:t>690 mm</w:t>
              </w:r>
            </w:smartTag>
            <w:r w:rsidRPr="00AD58B1">
              <w:rPr>
                <w:bCs/>
                <w:color w:val="000000"/>
                <w:sz w:val="22"/>
                <w:szCs w:val="22"/>
              </w:rPr>
              <w:t>.</w:t>
            </w:r>
          </w:p>
          <w:p w:rsidR="005B486E" w:rsidRPr="00AD58B1" w:rsidRDefault="005B486E" w:rsidP="00AD58B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Zasilacz o mocy max. 205W pracujący w sieci 230V 50/60Hz prądu zmiennego.</w:t>
            </w:r>
          </w:p>
          <w:p w:rsidR="00774356" w:rsidRPr="00AD58B1" w:rsidRDefault="005B486E" w:rsidP="00AD58B1">
            <w:pPr>
              <w:jc w:val="both"/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 xml:space="preserve">Zasilacz w oferowanym komputerze musi spełniać wymagania certyfikatu co najmniej 80 Plus BRONZE. Obudowa komputera </w:t>
            </w:r>
            <w:proofErr w:type="spellStart"/>
            <w:r w:rsidRPr="00AD58B1">
              <w:rPr>
                <w:bCs/>
                <w:color w:val="000000"/>
                <w:sz w:val="22"/>
                <w:szCs w:val="22"/>
              </w:rPr>
              <w:t>beznarzędziowa</w:t>
            </w:r>
            <w:proofErr w:type="spellEnd"/>
            <w:r w:rsidRPr="00AD58B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C574E9" w:rsidP="00C574E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 </w:t>
            </w:r>
          </w:p>
        </w:tc>
      </w:tr>
      <w:tr w:rsidR="00774356" w:rsidRPr="00AD58B1" w:rsidTr="00AD58B1">
        <w:trPr>
          <w:trHeight w:val="40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56" w:rsidRPr="00AD58B1" w:rsidRDefault="005B486E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Zainstalowany system operacyjny </w:t>
            </w:r>
            <w:r w:rsidRPr="00C574E9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Windows 11 Professional</w:t>
            </w:r>
            <w:r w:rsidRPr="00AD58B1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w polskiej wersji językowej. Klucz licencyjny musi być zapisany trwale w BIOS i umożliwiać instalację systemu operacyjnego bez potrzeby ręcznego wpisywania klucza licencyjnego.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 </w:t>
            </w:r>
          </w:p>
        </w:tc>
      </w:tr>
      <w:tr w:rsidR="00774356" w:rsidRPr="00AD58B1" w:rsidTr="00AD58B1">
        <w:trPr>
          <w:trHeight w:val="54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10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86E" w:rsidRPr="00AD58B1" w:rsidRDefault="005B486E" w:rsidP="00AD58B1">
            <w:pPr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 xml:space="preserve">Wbudowane porty: </w:t>
            </w:r>
          </w:p>
          <w:p w:rsidR="005B486E" w:rsidRPr="00AD58B1" w:rsidRDefault="005B486E" w:rsidP="00AD58B1">
            <w:pPr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1 x HDMI</w:t>
            </w:r>
          </w:p>
          <w:p w:rsidR="005B486E" w:rsidRPr="00AD58B1" w:rsidRDefault="005B486E" w:rsidP="00AD58B1">
            <w:pPr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 xml:space="preserve">1 x VGA </w:t>
            </w:r>
          </w:p>
          <w:p w:rsidR="005B486E" w:rsidRPr="00AD58B1" w:rsidRDefault="005B486E" w:rsidP="00AD58B1">
            <w:pPr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 xml:space="preserve">min. 8 portów USB wyprowadzonych na zewnątrz obudowy, w układzie: </w:t>
            </w:r>
          </w:p>
          <w:p w:rsidR="005B486E" w:rsidRPr="00AD58B1" w:rsidRDefault="005B486E" w:rsidP="00AD58B1">
            <w:pPr>
              <w:numPr>
                <w:ilvl w:val="1"/>
                <w:numId w:val="22"/>
              </w:numPr>
              <w:suppressAutoHyphens w:val="0"/>
              <w:autoSpaceDN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 xml:space="preserve">Panel przedni min.: 2 x USB 3.2 gen 1 Typu A oraz 2 x USB 2.0 </w:t>
            </w:r>
          </w:p>
          <w:p w:rsidR="005B486E" w:rsidRPr="00AD58B1" w:rsidRDefault="005B486E" w:rsidP="00AD58B1">
            <w:pPr>
              <w:numPr>
                <w:ilvl w:val="1"/>
                <w:numId w:val="22"/>
              </w:numPr>
              <w:suppressAutoHyphens w:val="0"/>
              <w:autoSpaceDN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Panel tylny min.: 2 x USB 3.2 gen 1 Typu A oraz 2 x USB 2.0</w:t>
            </w:r>
          </w:p>
          <w:p w:rsidR="005B486E" w:rsidRPr="00AD58B1" w:rsidRDefault="005B486E" w:rsidP="00AD58B1">
            <w:pPr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 xml:space="preserve">1 x port audio typu </w:t>
            </w:r>
            <w:proofErr w:type="spellStart"/>
            <w:r w:rsidRPr="00AD58B1">
              <w:rPr>
                <w:bCs/>
                <w:color w:val="000000"/>
                <w:sz w:val="22"/>
                <w:szCs w:val="22"/>
              </w:rPr>
              <w:t>combo</w:t>
            </w:r>
            <w:proofErr w:type="spellEnd"/>
            <w:r w:rsidRPr="00AD58B1">
              <w:rPr>
                <w:bCs/>
                <w:color w:val="000000"/>
                <w:sz w:val="22"/>
                <w:szCs w:val="22"/>
              </w:rPr>
              <w:t xml:space="preserve"> (słuchawka/mikrofon) na przednim panelu </w:t>
            </w:r>
          </w:p>
          <w:p w:rsidR="005B486E" w:rsidRPr="00AD58B1" w:rsidRDefault="005B486E" w:rsidP="00AD58B1">
            <w:pPr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1 x RJ – 45</w:t>
            </w:r>
          </w:p>
          <w:p w:rsidR="005B486E" w:rsidRPr="00AD58B1" w:rsidRDefault="005B486E" w:rsidP="00AD58B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Wymagana ilość i rozmieszczenie (na zewnątrz obudowy komputera) wszystkich portów USB nie może być osiągnięta w wyniku stosowania konwerterów, przejściówek lub przewodów połączeniowych itp. Zainstalowane porty nie mogą blokować instalacji kart rozszerzeń w złączach wymaganych w opisie płyty głównej.</w:t>
            </w:r>
          </w:p>
          <w:p w:rsidR="005B486E" w:rsidRPr="00AD58B1" w:rsidRDefault="005B486E" w:rsidP="00AD58B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Karta sieciowa 10/100/1000 zintegrowana z płytą główną.</w:t>
            </w:r>
          </w:p>
          <w:p w:rsidR="005B486E" w:rsidRPr="00AD58B1" w:rsidRDefault="005B486E" w:rsidP="00AD58B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Płyta główna zaprojektowana i wyprodukowana na zlecenie producenta komputera.</w:t>
            </w:r>
          </w:p>
          <w:p w:rsidR="005B486E" w:rsidRPr="00AD58B1" w:rsidRDefault="005B486E" w:rsidP="00AD58B1">
            <w:pPr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Jedno złącze M.2 dla dysków oraz złącze M.2 bezprzewodowej karty sieciowej.</w:t>
            </w:r>
          </w:p>
          <w:p w:rsidR="005B486E" w:rsidRPr="00AD58B1" w:rsidRDefault="005B486E" w:rsidP="00AD58B1">
            <w:pPr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Zainstalowana karta WiFi802.11ac + BT 4.2</w:t>
            </w:r>
          </w:p>
          <w:p w:rsidR="005B486E" w:rsidRPr="00AD58B1" w:rsidRDefault="005B486E" w:rsidP="00AD58B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 xml:space="preserve">Klawiatura USB w układzie polski programisty </w:t>
            </w:r>
          </w:p>
          <w:p w:rsidR="005B486E" w:rsidRPr="00AD58B1" w:rsidRDefault="005B486E" w:rsidP="00AD58B1">
            <w:pPr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Mysz USB z rolką (</w:t>
            </w:r>
            <w:proofErr w:type="spellStart"/>
            <w:r w:rsidRPr="00AD58B1">
              <w:rPr>
                <w:bCs/>
                <w:color w:val="000000"/>
                <w:sz w:val="22"/>
                <w:szCs w:val="22"/>
              </w:rPr>
              <w:t>scroll</w:t>
            </w:r>
            <w:proofErr w:type="spellEnd"/>
            <w:r w:rsidRPr="00AD58B1">
              <w:rPr>
                <w:bCs/>
                <w:color w:val="000000"/>
                <w:sz w:val="22"/>
                <w:szCs w:val="22"/>
              </w:rPr>
              <w:t xml:space="preserve">) </w:t>
            </w:r>
          </w:p>
          <w:p w:rsidR="00774356" w:rsidRPr="00AD58B1" w:rsidRDefault="005B486E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Nagrywarka DVD +/-RW o prędkości min. 8x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</w:t>
            </w:r>
            <w:r w:rsidR="005B486E" w:rsidRPr="00AD58B1">
              <w:rPr>
                <w:sz w:val="22"/>
                <w:szCs w:val="22"/>
              </w:rPr>
              <w:t>, 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 </w:t>
            </w:r>
          </w:p>
        </w:tc>
      </w:tr>
      <w:tr w:rsidR="00774356" w:rsidRPr="00AD58B1" w:rsidTr="00AD58B1">
        <w:trPr>
          <w:trHeight w:val="78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11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86E" w:rsidRPr="00AD58B1" w:rsidRDefault="005B486E" w:rsidP="00AD58B1">
            <w:pPr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Dedykowany portal techniczny producenta, umożliwiający Zamawiającemu:</w:t>
            </w:r>
          </w:p>
          <w:p w:rsidR="005B486E" w:rsidRPr="00AD58B1" w:rsidRDefault="005B486E" w:rsidP="00AD58B1">
            <w:pPr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- wykonanie zdalnej diagnostyki komputera,</w:t>
            </w:r>
          </w:p>
          <w:p w:rsidR="005B486E" w:rsidRPr="00AD58B1" w:rsidRDefault="005B486E" w:rsidP="00AD58B1">
            <w:pPr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- zgłaszanie awarii,</w:t>
            </w:r>
          </w:p>
          <w:p w:rsidR="005B486E" w:rsidRPr="00AD58B1" w:rsidRDefault="005B486E" w:rsidP="00AD58B1">
            <w:pPr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lastRenderedPageBreak/>
              <w:t>- sprawdzenie kompletnych danych o urządzeniu na jednej witrynie internetowej prowadzonej przez producenta (automatyczna identyfikacja komputera, konfiguracja fabryczna, konfiguracja bieżąca, rodzaj gwarancji, data wygaśnięcia gwarancji, data produkcji komputera),</w:t>
            </w:r>
          </w:p>
          <w:p w:rsidR="00774356" w:rsidRPr="00AD58B1" w:rsidRDefault="005B486E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 xml:space="preserve">- pobranie aktualizacji, dedykowanego oprogramowania i sterowników, tworzenie dysku </w:t>
            </w:r>
            <w:proofErr w:type="spellStart"/>
            <w:r w:rsidRPr="00AD58B1">
              <w:rPr>
                <w:bCs/>
                <w:color w:val="000000"/>
                <w:sz w:val="22"/>
                <w:szCs w:val="22"/>
              </w:rPr>
              <w:t>recovery</w:t>
            </w:r>
            <w:proofErr w:type="spellEnd"/>
            <w:r w:rsidRPr="00AD58B1">
              <w:rPr>
                <w:bCs/>
                <w:color w:val="000000"/>
                <w:sz w:val="22"/>
                <w:szCs w:val="22"/>
              </w:rPr>
              <w:t xml:space="preserve"> systemu operacyjnego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 </w:t>
            </w:r>
          </w:p>
        </w:tc>
      </w:tr>
      <w:tr w:rsidR="00774356" w:rsidRPr="00AD58B1" w:rsidTr="00AD58B1">
        <w:trPr>
          <w:trHeight w:val="7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12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56" w:rsidRPr="00AD58B1" w:rsidRDefault="005B486E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 xml:space="preserve">Typ ekranu: Ekran ciekłokrystaliczny z aktywną matrycą min. </w:t>
            </w:r>
            <w:smartTag w:uri="urn:schemas-microsoft-com:office:smarttags" w:element="metricconverter">
              <w:smartTagPr>
                <w:attr w:name="ProductID" w:val="23,8”"/>
              </w:smartTagPr>
              <w:r w:rsidRPr="00AD58B1">
                <w:rPr>
                  <w:bCs/>
                  <w:color w:val="000000"/>
                  <w:sz w:val="22"/>
                  <w:szCs w:val="22"/>
                </w:rPr>
                <w:t>23,8”</w:t>
              </w:r>
            </w:smartTag>
            <w:r w:rsidRPr="00AD58B1">
              <w:rPr>
                <w:bCs/>
                <w:color w:val="000000"/>
                <w:sz w:val="22"/>
                <w:szCs w:val="22"/>
              </w:rPr>
              <w:t xml:space="preserve"> (16:9)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 </w:t>
            </w:r>
          </w:p>
        </w:tc>
      </w:tr>
      <w:tr w:rsidR="00774356" w:rsidRPr="00AD58B1" w:rsidTr="00AD58B1">
        <w:trPr>
          <w:trHeight w:val="28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13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56" w:rsidRPr="00AD58B1" w:rsidRDefault="009D56DF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Technologia wykonania matrycy IPS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 </w:t>
            </w:r>
          </w:p>
        </w:tc>
      </w:tr>
      <w:tr w:rsidR="00774356" w:rsidRPr="00AD58B1" w:rsidTr="00AD58B1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14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56" w:rsidRPr="00AD58B1" w:rsidRDefault="009D56DF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 xml:space="preserve">Rozmiar plamki: maksymalnie </w:t>
            </w:r>
            <w:smartTag w:uri="urn:schemas-microsoft-com:office:smarttags" w:element="metricconverter">
              <w:smartTagPr>
                <w:attr w:name="ProductID" w:val="0,275 mm"/>
              </w:smartTagPr>
              <w:r w:rsidRPr="00AD58B1">
                <w:rPr>
                  <w:bCs/>
                  <w:color w:val="000000"/>
                  <w:sz w:val="22"/>
                  <w:szCs w:val="22"/>
                </w:rPr>
                <w:t>0,275 mm</w:t>
              </w:r>
            </w:smartTag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 </w:t>
            </w:r>
          </w:p>
        </w:tc>
      </w:tr>
      <w:tr w:rsidR="00774356" w:rsidRPr="00AD58B1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15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56" w:rsidRPr="00AD58B1" w:rsidRDefault="001B682B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Jasność: min. 250 cd/m2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 </w:t>
            </w:r>
          </w:p>
        </w:tc>
      </w:tr>
      <w:tr w:rsidR="009D56DF" w:rsidRPr="00AD58B1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6DF" w:rsidRPr="00AD58B1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16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DF" w:rsidRPr="00AD58B1" w:rsidRDefault="001B682B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Kontrast Typowy 1000:1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6DF" w:rsidRPr="00AD58B1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6DF" w:rsidRPr="00AD58B1" w:rsidRDefault="009D56DF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D56DF" w:rsidRPr="00AD58B1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6DF" w:rsidRPr="00AD58B1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17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DF" w:rsidRPr="00AD58B1" w:rsidRDefault="001B682B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Kąty widzenia (pion/poziom) min. 178/178 stopni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6DF" w:rsidRPr="00AD58B1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6DF" w:rsidRPr="00AD58B1" w:rsidRDefault="009D56DF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D56DF" w:rsidRPr="00AD58B1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6DF" w:rsidRPr="00AD58B1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18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2B" w:rsidRPr="00AD58B1" w:rsidRDefault="001B682B" w:rsidP="00AD58B1">
            <w:pPr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 xml:space="preserve">Czas reakcji matrycy </w:t>
            </w:r>
          </w:p>
          <w:p w:rsidR="001B682B" w:rsidRPr="00AD58B1" w:rsidRDefault="001B682B" w:rsidP="00AD58B1">
            <w:pPr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 xml:space="preserve">max. 5 ms (szary do szarego - tryb szybki) </w:t>
            </w:r>
          </w:p>
          <w:p w:rsidR="009D56DF" w:rsidRPr="00AD58B1" w:rsidRDefault="001B682B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max. 8 ms (typowy - tryb normalny)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6DF" w:rsidRPr="00AD58B1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6DF" w:rsidRPr="00AD58B1" w:rsidRDefault="009D56DF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D56DF" w:rsidRPr="00AD58B1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6DF" w:rsidRPr="00AD58B1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DF" w:rsidRPr="00AD58B1" w:rsidRDefault="001B682B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Rozdzielczość natywna maksymalna: 1920 x 1080 przy 60Hz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6DF" w:rsidRPr="00AD58B1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6DF" w:rsidRPr="00AD58B1" w:rsidRDefault="009D56DF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AD58B1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2B" w:rsidRPr="00AD58B1" w:rsidRDefault="001B682B" w:rsidP="00AD58B1">
            <w:pPr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Paleta kolorów</w:t>
            </w:r>
          </w:p>
          <w:p w:rsidR="001B682B" w:rsidRPr="00AD58B1" w:rsidRDefault="001B682B" w:rsidP="00AD58B1">
            <w:pPr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83% (CIE 1976)</w:t>
            </w:r>
          </w:p>
          <w:p w:rsidR="001B682B" w:rsidRPr="00AD58B1" w:rsidRDefault="001B682B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72% (CIE 1931)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AD58B1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2B" w:rsidRPr="00AD58B1" w:rsidRDefault="001B682B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Głębia kolorów: 16,7 miliona kolorów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AD58B1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2B" w:rsidRPr="00AD58B1" w:rsidRDefault="001B682B" w:rsidP="00AD58B1">
            <w:pPr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 xml:space="preserve">Zużycie energii: Normalne działanie 16W (typowe), </w:t>
            </w:r>
          </w:p>
          <w:p w:rsidR="001B682B" w:rsidRPr="00AD58B1" w:rsidRDefault="001B682B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Tryb wyłączenia aktywności nie więcej niż 0,3W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AD58B1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2B" w:rsidRPr="00AD58B1" w:rsidRDefault="001B682B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Powłoka powierzchni ekranu: Antyodblaskowa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bookmarkStart w:id="0" w:name="OLE_LINK1"/>
            <w:r w:rsidRPr="00AD58B1">
              <w:rPr>
                <w:sz w:val="22"/>
                <w:szCs w:val="22"/>
              </w:rPr>
              <w:t>TAK</w:t>
            </w:r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AD58B1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2B" w:rsidRPr="00AD58B1" w:rsidRDefault="001B682B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System podświetlenia LED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AD58B1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2B" w:rsidRPr="00AD58B1" w:rsidRDefault="001B682B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Monitor musi być wyposażony w tzw. gniazdo zabezpieczenia przed kradzieżą.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AD58B1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2B" w:rsidRPr="00AD58B1" w:rsidRDefault="001B682B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 xml:space="preserve">Waga z podstawą + kable: maksymalnie </w:t>
            </w:r>
            <w:smartTag w:uri="urn:schemas-microsoft-com:office:smarttags" w:element="metricconverter">
              <w:smartTagPr>
                <w:attr w:name="ProductID" w:val="4,1 kg"/>
              </w:smartTagPr>
              <w:r w:rsidRPr="00AD58B1">
                <w:rPr>
                  <w:bCs/>
                  <w:color w:val="000000"/>
                  <w:sz w:val="22"/>
                  <w:szCs w:val="22"/>
                </w:rPr>
                <w:t>4,1 kg</w:t>
              </w:r>
            </w:smartTag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AD58B1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2B" w:rsidRPr="00AD58B1" w:rsidRDefault="001B682B" w:rsidP="00AD58B1">
            <w:pPr>
              <w:rPr>
                <w:bCs/>
                <w:color w:val="000000"/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Dołączone przewody</w:t>
            </w:r>
          </w:p>
          <w:p w:rsidR="001B682B" w:rsidRPr="00AD58B1" w:rsidRDefault="001B682B" w:rsidP="00AD58B1">
            <w:pPr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1 x kabel HDMI</w:t>
            </w:r>
          </w:p>
          <w:p w:rsidR="001B682B" w:rsidRPr="00AD58B1" w:rsidRDefault="001B682B" w:rsidP="00AD58B1">
            <w:pPr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1 x kabel VGA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AD58B1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2B" w:rsidRPr="00AD58B1" w:rsidRDefault="001B682B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Zakres regulacji kąta pochylenia (</w:t>
            </w:r>
            <w:proofErr w:type="spellStart"/>
            <w:r w:rsidRPr="00AD58B1">
              <w:rPr>
                <w:bCs/>
                <w:color w:val="000000"/>
                <w:sz w:val="22"/>
                <w:szCs w:val="22"/>
              </w:rPr>
              <w:t>Tilt</w:t>
            </w:r>
            <w:proofErr w:type="spellEnd"/>
            <w:r w:rsidRPr="00AD58B1">
              <w:rPr>
                <w:bCs/>
                <w:color w:val="000000"/>
                <w:sz w:val="22"/>
                <w:szCs w:val="22"/>
              </w:rPr>
              <w:t xml:space="preserve">) wymagany, min. regulacja </w:t>
            </w:r>
            <w:r w:rsidRPr="00AD58B1">
              <w:rPr>
                <w:sz w:val="22"/>
                <w:szCs w:val="22"/>
              </w:rPr>
              <w:t>-5/+21 stopni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AD58B1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2B" w:rsidRPr="00AD58B1" w:rsidRDefault="001B682B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Kolor obudowy: czarny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AD58B1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2B" w:rsidRPr="00AD58B1" w:rsidRDefault="001B682B" w:rsidP="00AD58B1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58B1">
              <w:rPr>
                <w:rFonts w:ascii="Times New Roman" w:hAnsi="Times New Roman"/>
                <w:sz w:val="22"/>
                <w:szCs w:val="22"/>
              </w:rPr>
              <w:t>Złacze</w:t>
            </w:r>
            <w:proofErr w:type="spellEnd"/>
            <w:r w:rsidRPr="00AD58B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1B682B" w:rsidRPr="00AD58B1" w:rsidRDefault="001B682B" w:rsidP="00AD58B1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D58B1">
              <w:rPr>
                <w:rFonts w:ascii="Times New Roman" w:hAnsi="Times New Roman"/>
                <w:sz w:val="22"/>
                <w:szCs w:val="22"/>
              </w:rPr>
              <w:t>1xHDMI</w:t>
            </w:r>
            <w:r w:rsidR="00E252C1" w:rsidRPr="00AD58B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D58B1">
              <w:rPr>
                <w:rFonts w:ascii="Times New Roman" w:hAnsi="Times New Roman"/>
                <w:sz w:val="22"/>
                <w:szCs w:val="22"/>
              </w:rPr>
              <w:t>1xVGA</w:t>
            </w:r>
          </w:p>
          <w:p w:rsidR="001B682B" w:rsidRPr="00AD58B1" w:rsidRDefault="001B682B" w:rsidP="00AD58B1">
            <w:pPr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Złącza tożsame ze złączami oferowanego komputera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AD58B1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C1" w:rsidRPr="00AD58B1" w:rsidRDefault="00E252C1" w:rsidP="00AD58B1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Standardy ochrony środowiska:</w:t>
            </w:r>
            <w:r w:rsidRPr="00AD58B1">
              <w:rPr>
                <w:bCs/>
                <w:color w:val="000000"/>
                <w:sz w:val="22"/>
                <w:szCs w:val="22"/>
                <w:lang w:val="en-US"/>
              </w:rPr>
              <w:t xml:space="preserve"> EPEAT GOLD</w:t>
            </w:r>
          </w:p>
          <w:p w:rsidR="001B682B" w:rsidRPr="00AD58B1" w:rsidRDefault="00E252C1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  <w:lang w:val="en-US"/>
              </w:rPr>
              <w:t>ENERGY STAR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E252C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AD58B1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2B" w:rsidRPr="00AD58B1" w:rsidRDefault="00E252C1" w:rsidP="00AD58B1">
            <w:pPr>
              <w:rPr>
                <w:sz w:val="22"/>
                <w:szCs w:val="22"/>
              </w:rPr>
            </w:pPr>
            <w:r w:rsidRPr="00AD58B1">
              <w:rPr>
                <w:bCs/>
                <w:color w:val="000000"/>
                <w:sz w:val="22"/>
                <w:szCs w:val="22"/>
              </w:rPr>
              <w:t>Zdejmowana podstawa oraz otwory montażowe w obudowie VESA 100mm.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2B" w:rsidRPr="00AD58B1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E252C1" w:rsidRPr="00AD58B1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2C1" w:rsidRPr="00AD58B1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B1" w:rsidRPr="00AD58B1" w:rsidRDefault="00AD58B1" w:rsidP="00AD58B1">
            <w:pPr>
              <w:rPr>
                <w:b/>
                <w:bCs/>
                <w:sz w:val="22"/>
                <w:szCs w:val="22"/>
              </w:rPr>
            </w:pPr>
            <w:r w:rsidRPr="00AD58B1">
              <w:rPr>
                <w:b/>
                <w:bCs/>
                <w:sz w:val="22"/>
                <w:szCs w:val="22"/>
              </w:rPr>
              <w:t>Gwarancja jakości producenta na kompletny zestaw komputerowy wraz z monitorem:</w:t>
            </w:r>
          </w:p>
          <w:p w:rsidR="00AD58B1" w:rsidRPr="00AD58B1" w:rsidRDefault="008C3DC7" w:rsidP="00AD58B1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- minimalny </w:t>
            </w:r>
            <w:bookmarkStart w:id="1" w:name="_GoBack"/>
            <w:bookmarkEnd w:id="1"/>
            <w:r w:rsidR="00AD58B1" w:rsidRPr="00AD58B1">
              <w:rPr>
                <w:b/>
                <w:bCs/>
                <w:color w:val="FF0000"/>
                <w:sz w:val="22"/>
                <w:szCs w:val="22"/>
              </w:rPr>
              <w:t xml:space="preserve">okres gwarancji 36 </w:t>
            </w:r>
            <w:proofErr w:type="spellStart"/>
            <w:r w:rsidR="00AD58B1" w:rsidRPr="00AD58B1">
              <w:rPr>
                <w:b/>
                <w:bCs/>
                <w:color w:val="FF0000"/>
                <w:sz w:val="22"/>
                <w:szCs w:val="22"/>
              </w:rPr>
              <w:t>miesięce</w:t>
            </w:r>
            <w:proofErr w:type="spellEnd"/>
            <w:r w:rsidR="00AD58B1" w:rsidRPr="00AD58B1">
              <w:rPr>
                <w:color w:val="FF0000"/>
                <w:sz w:val="22"/>
                <w:szCs w:val="22"/>
              </w:rPr>
              <w:t xml:space="preserve"> </w:t>
            </w:r>
            <w:r w:rsidR="00AD58B1" w:rsidRPr="00AD58B1">
              <w:rPr>
                <w:sz w:val="22"/>
                <w:szCs w:val="22"/>
              </w:rPr>
              <w:t>- świadczonej  w siedzibie Zamawiającego (</w:t>
            </w:r>
            <w:proofErr w:type="spellStart"/>
            <w:r w:rsidR="00AD58B1" w:rsidRPr="00AD58B1">
              <w:rPr>
                <w:sz w:val="22"/>
                <w:szCs w:val="22"/>
              </w:rPr>
              <w:t>Onsite</w:t>
            </w:r>
            <w:proofErr w:type="spellEnd"/>
            <w:r w:rsidR="00AD58B1" w:rsidRPr="00AD58B1">
              <w:rPr>
                <w:sz w:val="22"/>
                <w:szCs w:val="22"/>
              </w:rPr>
              <w:t>), chyba że niezbędne będzie naprawa sprzętu w siedzibie producenta, lub autoryzowanym przez niego punkcie serwisowym - wówczas koszt transportu do i z naprawy pokrywa Wykonawca.</w:t>
            </w:r>
          </w:p>
          <w:p w:rsidR="00E252C1" w:rsidRPr="00AD58B1" w:rsidRDefault="00AD58B1" w:rsidP="00CE14EF">
            <w:pPr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 xml:space="preserve">W przypadku monitora dopuszcza się </w:t>
            </w:r>
            <w:bookmarkStart w:id="2" w:name="_Hlk85097731"/>
            <w:r w:rsidRPr="00AD58B1">
              <w:rPr>
                <w:sz w:val="22"/>
                <w:szCs w:val="22"/>
              </w:rPr>
              <w:t xml:space="preserve">gwarancje typu </w:t>
            </w:r>
            <w:proofErr w:type="spellStart"/>
            <w:r w:rsidRPr="00AD58B1">
              <w:rPr>
                <w:sz w:val="22"/>
                <w:szCs w:val="22"/>
              </w:rPr>
              <w:t>door</w:t>
            </w:r>
            <w:proofErr w:type="spellEnd"/>
            <w:r w:rsidRPr="00AD58B1">
              <w:rPr>
                <w:sz w:val="22"/>
                <w:szCs w:val="22"/>
              </w:rPr>
              <w:t xml:space="preserve"> to </w:t>
            </w:r>
            <w:proofErr w:type="spellStart"/>
            <w:r w:rsidRPr="00AD58B1">
              <w:rPr>
                <w:sz w:val="22"/>
                <w:szCs w:val="22"/>
              </w:rPr>
              <w:t>door</w:t>
            </w:r>
            <w:bookmarkEnd w:id="2"/>
            <w:proofErr w:type="spellEnd"/>
            <w:r w:rsidRPr="00AD58B1">
              <w:rPr>
                <w:sz w:val="22"/>
                <w:szCs w:val="22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2C1" w:rsidRPr="00AD58B1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2C1" w:rsidRPr="00AD58B1" w:rsidRDefault="00AD58B1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AD58B1">
              <w:rPr>
                <w:i/>
                <w:color w:val="FF0000"/>
                <w:sz w:val="22"/>
                <w:szCs w:val="22"/>
              </w:rPr>
              <w:t>(dodatkowy okres gwarancji będzie punktowany zgodnie z kryterium oceny ofert opisanym pkt.36 SWZ.)</w:t>
            </w:r>
          </w:p>
        </w:tc>
      </w:tr>
      <w:tr w:rsidR="00CE14EF" w:rsidRPr="00AD58B1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4EF" w:rsidRDefault="00CE14EF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EF" w:rsidRPr="00AD58B1" w:rsidRDefault="00CE14EF" w:rsidP="00CE14EF">
            <w:pPr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Naprawy gwarancyjn</w:t>
            </w:r>
            <w:r w:rsidR="00BF2ABE">
              <w:rPr>
                <w:sz w:val="22"/>
                <w:szCs w:val="22"/>
              </w:rPr>
              <w:t>e urządzeń muszą</w:t>
            </w:r>
            <w:r>
              <w:rPr>
                <w:sz w:val="22"/>
                <w:szCs w:val="22"/>
              </w:rPr>
              <w:t xml:space="preserve"> być realizowane</w:t>
            </w:r>
            <w:r w:rsidRPr="00AD58B1">
              <w:rPr>
                <w:sz w:val="22"/>
                <w:szCs w:val="22"/>
              </w:rPr>
              <w:t xml:space="preserve"> przez Producenta lub Autoryzowanego Partnera Serwisowego Producenta</w:t>
            </w:r>
          </w:p>
          <w:p w:rsidR="00CE14EF" w:rsidRPr="00AD58B1" w:rsidRDefault="00CE14EF" w:rsidP="00CE14EF">
            <w:pPr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- Wszystkie e</w:t>
            </w:r>
            <w:r>
              <w:rPr>
                <w:sz w:val="22"/>
                <w:szCs w:val="22"/>
              </w:rPr>
              <w:t>lementy składowe komputera muszą</w:t>
            </w:r>
            <w:r w:rsidRPr="00AD58B1">
              <w:rPr>
                <w:sz w:val="22"/>
                <w:szCs w:val="22"/>
              </w:rPr>
              <w:t xml:space="preserve">  być produkowane lub certyfikowane przez producenta i muszą być są objęte gwarancją producenta o wymaganym w specyfikacji poziomie SLA </w:t>
            </w:r>
          </w:p>
          <w:p w:rsidR="00CE14EF" w:rsidRPr="00AD58B1" w:rsidRDefault="00CE14EF" w:rsidP="00CE14EF">
            <w:pPr>
              <w:rPr>
                <w:b/>
                <w:bCs/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- Dostęp do najnowszych sterowników i uaktualnień realizowany poprzez podanie na dedykowanej stronie internetowej producenta numeru seryjnego lub modelu komputera – do oferty należy dołączyć link strony.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4EF" w:rsidRPr="00AD58B1" w:rsidRDefault="00CE14EF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4EF" w:rsidRPr="00AD58B1" w:rsidRDefault="00CE14EF" w:rsidP="00AD58B1">
            <w:pPr>
              <w:suppressAutoHyphens w:val="0"/>
              <w:autoSpaceDN/>
              <w:jc w:val="both"/>
              <w:textAlignment w:val="auto"/>
              <w:rPr>
                <w:i/>
                <w:color w:val="FF0000"/>
                <w:sz w:val="22"/>
                <w:szCs w:val="22"/>
              </w:rPr>
            </w:pPr>
          </w:p>
        </w:tc>
      </w:tr>
      <w:tr w:rsidR="00774356" w:rsidRPr="00AD58B1" w:rsidTr="00AD58B1">
        <w:trPr>
          <w:trHeight w:val="5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CE14EF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56" w:rsidRPr="00AD58B1" w:rsidRDefault="00774356" w:rsidP="00AD58B1">
            <w:pPr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Instrukcja w języku polskim – załączyć do dostawy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AD58B1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 </w:t>
            </w:r>
          </w:p>
        </w:tc>
      </w:tr>
      <w:tr w:rsidR="00774356" w:rsidRPr="00AD58B1" w:rsidTr="00AD58B1">
        <w:trPr>
          <w:trHeight w:val="54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56" w:rsidRPr="00AD58B1" w:rsidRDefault="00CE14EF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56" w:rsidRPr="00AD58B1" w:rsidRDefault="00774356" w:rsidP="00AD58B1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56" w:rsidRPr="00AD58B1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D58B1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56" w:rsidRPr="00AD58B1" w:rsidRDefault="00774356" w:rsidP="00AD58B1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</w:tbl>
    <w:p w:rsidR="00276D16" w:rsidRPr="00C47262" w:rsidRDefault="00276D16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C84146" w:rsidRPr="00276D16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C84146" w:rsidRPr="00276D16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C84146" w:rsidRPr="00276D1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5026F9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D472AC" w:rsidRDefault="00D472AC" w:rsidP="005026F9">
      <w:pPr>
        <w:jc w:val="center"/>
        <w:rPr>
          <w:b/>
          <w:bCs/>
          <w:sz w:val="22"/>
          <w:szCs w:val="22"/>
        </w:rPr>
      </w:pPr>
    </w:p>
    <w:sectPr w:rsidR="00D472AC" w:rsidSect="00C574E9">
      <w:headerReference w:type="default" r:id="rId10"/>
      <w:footerReference w:type="default" r:id="rId11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ED3" w:rsidRDefault="00BF5ED3" w:rsidP="00E67BE7">
      <w:r>
        <w:separator/>
      </w:r>
    </w:p>
  </w:endnote>
  <w:endnote w:type="continuationSeparator" w:id="0">
    <w:p w:rsidR="00BF5ED3" w:rsidRDefault="00BF5ED3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5026F9" w:rsidRDefault="005026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DC7">
          <w:rPr>
            <w:noProof/>
          </w:rPr>
          <w:t>4</w:t>
        </w:r>
        <w:r>
          <w:fldChar w:fldCharType="end"/>
        </w:r>
      </w:p>
    </w:sdtContent>
  </w:sdt>
  <w:p w:rsidR="005026F9" w:rsidRDefault="00502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ED3" w:rsidRDefault="00BF5ED3" w:rsidP="00E67BE7">
      <w:r>
        <w:separator/>
      </w:r>
    </w:p>
  </w:footnote>
  <w:footnote w:type="continuationSeparator" w:id="0">
    <w:p w:rsidR="00BF5ED3" w:rsidRDefault="00BF5ED3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F9" w:rsidRPr="001004FC" w:rsidRDefault="005026F9" w:rsidP="0091121D">
    <w:pPr>
      <w:autoSpaceDE w:val="0"/>
      <w:rPr>
        <w:rFonts w:ascii="Arial" w:hAnsi="Arial" w:cs="Arial"/>
        <w:b/>
        <w:i/>
        <w:sz w:val="18"/>
        <w:szCs w:val="18"/>
      </w:rPr>
    </w:pPr>
    <w:r w:rsidRPr="000446CB">
      <w:rPr>
        <w:rFonts w:ascii="Calibri" w:hAnsi="Calibri"/>
        <w:noProof/>
      </w:rPr>
      <w:drawing>
        <wp:inline distT="0" distB="0" distL="0" distR="0">
          <wp:extent cx="1024255" cy="426720"/>
          <wp:effectExtent l="0" t="0" r="444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1402080" cy="426720"/>
          <wp:effectExtent l="0" t="0" r="762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944880" cy="426720"/>
          <wp:effectExtent l="0" t="0" r="762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</w:t>
    </w:r>
    <w:r w:rsidRPr="000446CB">
      <w:rPr>
        <w:rFonts w:ascii="Calibri" w:hAnsi="Calibri"/>
        <w:noProof/>
      </w:rPr>
      <w:drawing>
        <wp:inline distT="0" distB="0" distL="0" distR="0">
          <wp:extent cx="1456690" cy="42672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</w:t>
    </w:r>
  </w:p>
  <w:p w:rsidR="005026F9" w:rsidRDefault="005026F9" w:rsidP="0091121D">
    <w:pPr>
      <w:autoSpaceDE w:val="0"/>
      <w:jc w:val="center"/>
      <w:rPr>
        <w:rFonts w:ascii="Arial" w:hAnsi="Arial" w:cs="Arial"/>
        <w:sz w:val="18"/>
        <w:szCs w:val="18"/>
      </w:rPr>
    </w:pPr>
  </w:p>
  <w:p w:rsidR="005026F9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5026F9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AA0D11">
      <w:rPr>
        <w:rFonts w:eastAsia="Calibri"/>
        <w:sz w:val="28"/>
        <w:szCs w:val="22"/>
        <w:lang w:eastAsia="en-US"/>
      </w:rPr>
      <w:t xml:space="preserve"> </w:t>
    </w:r>
    <w:r w:rsidRPr="00F1618A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:rsidR="005026F9" w:rsidRPr="00285DC2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8"/>
        <w:szCs w:val="8"/>
      </w:rPr>
    </w:pPr>
  </w:p>
  <w:p w:rsidR="005026F9" w:rsidRPr="00CD78EE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</w:t>
    </w:r>
  </w:p>
  <w:p w:rsidR="005026F9" w:rsidRPr="0091121D" w:rsidRDefault="005026F9" w:rsidP="0091121D">
    <w:pPr>
      <w:widowControl w:val="0"/>
      <w:suppressAutoHyphens w:val="0"/>
      <w:autoSpaceDE w:val="0"/>
      <w:jc w:val="center"/>
    </w:pPr>
    <w:r w:rsidRPr="00CD78EE">
      <w:rPr>
        <w:rFonts w:ascii="Arial" w:hAnsi="Arial" w:cs="Arial"/>
        <w:bCs/>
        <w:i/>
        <w:sz w:val="18"/>
        <w:szCs w:val="18"/>
      </w:rPr>
      <w:t>„</w:t>
    </w:r>
    <w:r>
      <w:rPr>
        <w:rFonts w:ascii="Arial" w:hAnsi="Arial" w:cs="Arial"/>
        <w:bCs/>
        <w:i/>
        <w:sz w:val="18"/>
        <w:szCs w:val="18"/>
      </w:rPr>
      <w:t>Modernizacja i doposażenie Kliniki Rehabilitacji i Ośrodka Rehabilitacji Dziennej</w:t>
    </w:r>
    <w:r w:rsidRPr="00CD78EE">
      <w:rPr>
        <w:rFonts w:ascii="Arial" w:hAnsi="Arial" w:cs="Arial"/>
        <w:bCs/>
        <w:i/>
        <w:sz w:val="18"/>
        <w:szCs w:val="18"/>
      </w:rPr>
      <w:t xml:space="preserve"> Wojewódzkiego </w:t>
    </w:r>
    <w:r>
      <w:rPr>
        <w:rFonts w:ascii="Arial" w:hAnsi="Arial" w:cs="Arial"/>
        <w:bCs/>
        <w:i/>
        <w:sz w:val="18"/>
        <w:szCs w:val="18"/>
      </w:rPr>
      <w:t>Szpitala Zespolonego w Kielcach</w:t>
    </w:r>
    <w:r w:rsidRPr="00CD78EE">
      <w:rPr>
        <w:rFonts w:ascii="Arial" w:hAnsi="Arial" w:cs="Arial"/>
        <w:bCs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8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4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7"/>
  </w:num>
  <w:num w:numId="12">
    <w:abstractNumId w:val="20"/>
  </w:num>
  <w:num w:numId="13">
    <w:abstractNumId w:val="0"/>
  </w:num>
  <w:num w:numId="14">
    <w:abstractNumId w:val="15"/>
  </w:num>
  <w:num w:numId="15">
    <w:abstractNumId w:val="14"/>
  </w:num>
  <w:num w:numId="16">
    <w:abstractNumId w:val="5"/>
  </w:num>
  <w:num w:numId="17">
    <w:abstractNumId w:val="19"/>
  </w:num>
  <w:num w:numId="18">
    <w:abstractNumId w:val="16"/>
  </w:num>
  <w:num w:numId="19">
    <w:abstractNumId w:val="3"/>
  </w:num>
  <w:num w:numId="20">
    <w:abstractNumId w:val="13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73DDC"/>
    <w:rsid w:val="000826B6"/>
    <w:rsid w:val="00097153"/>
    <w:rsid w:val="000B4926"/>
    <w:rsid w:val="000C3530"/>
    <w:rsid w:val="000F44E7"/>
    <w:rsid w:val="000F78E6"/>
    <w:rsid w:val="00111F50"/>
    <w:rsid w:val="0013422F"/>
    <w:rsid w:val="001409C3"/>
    <w:rsid w:val="00146234"/>
    <w:rsid w:val="001502B1"/>
    <w:rsid w:val="001517F9"/>
    <w:rsid w:val="0016362B"/>
    <w:rsid w:val="001B682B"/>
    <w:rsid w:val="001D206E"/>
    <w:rsid w:val="001F12F9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76D16"/>
    <w:rsid w:val="00283A62"/>
    <w:rsid w:val="002A06C6"/>
    <w:rsid w:val="002A181F"/>
    <w:rsid w:val="002B3350"/>
    <w:rsid w:val="002C114D"/>
    <w:rsid w:val="002C2647"/>
    <w:rsid w:val="002D42A0"/>
    <w:rsid w:val="002E0D97"/>
    <w:rsid w:val="002E4315"/>
    <w:rsid w:val="002F09E8"/>
    <w:rsid w:val="002F1E1B"/>
    <w:rsid w:val="002F2233"/>
    <w:rsid w:val="002F6293"/>
    <w:rsid w:val="003068E9"/>
    <w:rsid w:val="00332670"/>
    <w:rsid w:val="003403E2"/>
    <w:rsid w:val="00354EDB"/>
    <w:rsid w:val="00373CF2"/>
    <w:rsid w:val="00375536"/>
    <w:rsid w:val="003869A8"/>
    <w:rsid w:val="0039496C"/>
    <w:rsid w:val="00397124"/>
    <w:rsid w:val="003A124F"/>
    <w:rsid w:val="003D4F31"/>
    <w:rsid w:val="003E0227"/>
    <w:rsid w:val="003F6127"/>
    <w:rsid w:val="00400327"/>
    <w:rsid w:val="00402144"/>
    <w:rsid w:val="004106EF"/>
    <w:rsid w:val="0041306E"/>
    <w:rsid w:val="00441636"/>
    <w:rsid w:val="004435D7"/>
    <w:rsid w:val="00446379"/>
    <w:rsid w:val="004474F5"/>
    <w:rsid w:val="00453951"/>
    <w:rsid w:val="0047651F"/>
    <w:rsid w:val="004802DA"/>
    <w:rsid w:val="004879A4"/>
    <w:rsid w:val="004932E8"/>
    <w:rsid w:val="004952B3"/>
    <w:rsid w:val="004D3F95"/>
    <w:rsid w:val="004E2967"/>
    <w:rsid w:val="004F4D45"/>
    <w:rsid w:val="00502227"/>
    <w:rsid w:val="005026F9"/>
    <w:rsid w:val="00507FFD"/>
    <w:rsid w:val="00552012"/>
    <w:rsid w:val="00570F39"/>
    <w:rsid w:val="00582663"/>
    <w:rsid w:val="005A23C6"/>
    <w:rsid w:val="005B2FF7"/>
    <w:rsid w:val="005B486E"/>
    <w:rsid w:val="005C6022"/>
    <w:rsid w:val="005D1585"/>
    <w:rsid w:val="00613C96"/>
    <w:rsid w:val="00627C95"/>
    <w:rsid w:val="00630E3C"/>
    <w:rsid w:val="006415F5"/>
    <w:rsid w:val="00654957"/>
    <w:rsid w:val="006549B8"/>
    <w:rsid w:val="0066073E"/>
    <w:rsid w:val="006612EC"/>
    <w:rsid w:val="00663AAA"/>
    <w:rsid w:val="00665F67"/>
    <w:rsid w:val="00672D43"/>
    <w:rsid w:val="00684B47"/>
    <w:rsid w:val="006C7268"/>
    <w:rsid w:val="006D0C1C"/>
    <w:rsid w:val="006D3979"/>
    <w:rsid w:val="006E237A"/>
    <w:rsid w:val="006E4C2E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208D"/>
    <w:rsid w:val="00774356"/>
    <w:rsid w:val="007A7F6E"/>
    <w:rsid w:val="007B469A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C3DC7"/>
    <w:rsid w:val="008D09AF"/>
    <w:rsid w:val="008D3C53"/>
    <w:rsid w:val="008E45BE"/>
    <w:rsid w:val="008F3945"/>
    <w:rsid w:val="008F5400"/>
    <w:rsid w:val="00902A70"/>
    <w:rsid w:val="00903A99"/>
    <w:rsid w:val="0091121D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86A64"/>
    <w:rsid w:val="009933BB"/>
    <w:rsid w:val="00993C45"/>
    <w:rsid w:val="009C22C9"/>
    <w:rsid w:val="009D56DF"/>
    <w:rsid w:val="009D56E7"/>
    <w:rsid w:val="009F2611"/>
    <w:rsid w:val="00A04EBB"/>
    <w:rsid w:val="00A16F06"/>
    <w:rsid w:val="00A217B5"/>
    <w:rsid w:val="00A36A55"/>
    <w:rsid w:val="00A427C9"/>
    <w:rsid w:val="00A50D2F"/>
    <w:rsid w:val="00A617C1"/>
    <w:rsid w:val="00A75F05"/>
    <w:rsid w:val="00A80F58"/>
    <w:rsid w:val="00A812A8"/>
    <w:rsid w:val="00A8212A"/>
    <w:rsid w:val="00AC44C4"/>
    <w:rsid w:val="00AD4450"/>
    <w:rsid w:val="00AD58B1"/>
    <w:rsid w:val="00AD6AE3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A386E"/>
    <w:rsid w:val="00BB1469"/>
    <w:rsid w:val="00BD6D46"/>
    <w:rsid w:val="00BF2ABE"/>
    <w:rsid w:val="00BF5ED3"/>
    <w:rsid w:val="00C059EB"/>
    <w:rsid w:val="00C22CFC"/>
    <w:rsid w:val="00C312FB"/>
    <w:rsid w:val="00C43DC0"/>
    <w:rsid w:val="00C441AE"/>
    <w:rsid w:val="00C47262"/>
    <w:rsid w:val="00C52556"/>
    <w:rsid w:val="00C574E9"/>
    <w:rsid w:val="00C71C23"/>
    <w:rsid w:val="00C84146"/>
    <w:rsid w:val="00CA029C"/>
    <w:rsid w:val="00CC0EC3"/>
    <w:rsid w:val="00CC2988"/>
    <w:rsid w:val="00CD6898"/>
    <w:rsid w:val="00CE14EF"/>
    <w:rsid w:val="00CE5FC0"/>
    <w:rsid w:val="00CF275D"/>
    <w:rsid w:val="00D119D1"/>
    <w:rsid w:val="00D14830"/>
    <w:rsid w:val="00D335D6"/>
    <w:rsid w:val="00D33801"/>
    <w:rsid w:val="00D40B7D"/>
    <w:rsid w:val="00D472AC"/>
    <w:rsid w:val="00D55758"/>
    <w:rsid w:val="00D561E1"/>
    <w:rsid w:val="00D6227F"/>
    <w:rsid w:val="00DA01F0"/>
    <w:rsid w:val="00DB6BAB"/>
    <w:rsid w:val="00DC3F2D"/>
    <w:rsid w:val="00DE0BEF"/>
    <w:rsid w:val="00E024DC"/>
    <w:rsid w:val="00E033CE"/>
    <w:rsid w:val="00E23F52"/>
    <w:rsid w:val="00E252C1"/>
    <w:rsid w:val="00E53110"/>
    <w:rsid w:val="00E67BE7"/>
    <w:rsid w:val="00E72B3C"/>
    <w:rsid w:val="00EA412B"/>
    <w:rsid w:val="00EE2FEF"/>
    <w:rsid w:val="00EE7B69"/>
    <w:rsid w:val="00EF0D98"/>
    <w:rsid w:val="00F06C3C"/>
    <w:rsid w:val="00F17701"/>
    <w:rsid w:val="00F321B8"/>
    <w:rsid w:val="00F328A4"/>
    <w:rsid w:val="00F358CA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B682B"/>
    <w:pPr>
      <w:suppressAutoHyphens w:val="0"/>
      <w:autoSpaceDN/>
      <w:spacing w:after="160" w:line="259" w:lineRule="auto"/>
      <w:textAlignment w:val="auto"/>
    </w:pPr>
    <w:rPr>
      <w:rFonts w:ascii="Calibri" w:eastAsia="Calibri" w:hAnsi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2B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gpu_list.ph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FC33-92A1-4A89-9865-B1F3CBCA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8</cp:revision>
  <cp:lastPrinted>2022-03-22T10:09:00Z</cp:lastPrinted>
  <dcterms:created xsi:type="dcterms:W3CDTF">2022-08-22T06:14:00Z</dcterms:created>
  <dcterms:modified xsi:type="dcterms:W3CDTF">2022-08-22T07:42:00Z</dcterms:modified>
</cp:coreProperties>
</file>