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2AE504A9" w:rsidR="001A6FCF" w:rsidRDefault="00BE17F7" w:rsidP="005005E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</w:t>
      </w:r>
      <w:r w:rsidR="001A6FCF" w:rsidRPr="0005093B">
        <w:rPr>
          <w:rFonts w:ascii="Times New Roman" w:hAnsi="Times New Roman"/>
          <w:szCs w:val="22"/>
        </w:rPr>
        <w:t xml:space="preserve">nak sprawy: </w:t>
      </w:r>
      <w:r w:rsidR="001A6FCF" w:rsidRPr="0005093B">
        <w:rPr>
          <w:rFonts w:ascii="Times New Roman" w:hAnsi="Times New Roman"/>
          <w:b/>
          <w:szCs w:val="22"/>
        </w:rPr>
        <w:t>EZ/</w:t>
      </w:r>
      <w:r w:rsidR="001A6FCF">
        <w:rPr>
          <w:rFonts w:ascii="Times New Roman" w:hAnsi="Times New Roman"/>
          <w:b/>
          <w:szCs w:val="22"/>
        </w:rPr>
        <w:t>7</w:t>
      </w:r>
      <w:r w:rsidR="00A50E79">
        <w:rPr>
          <w:rFonts w:ascii="Times New Roman" w:hAnsi="Times New Roman"/>
          <w:b/>
          <w:szCs w:val="22"/>
        </w:rPr>
        <w:t>9</w:t>
      </w:r>
      <w:r w:rsidR="001A6FCF" w:rsidRPr="0005093B">
        <w:rPr>
          <w:rFonts w:ascii="Times New Roman" w:hAnsi="Times New Roman"/>
          <w:b/>
          <w:szCs w:val="22"/>
        </w:rPr>
        <w:t>/2023/ESŁ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/CEiDG</w:t>
      </w:r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28C52E63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ePUAP na który Zamawiający ma przesłać korespondencję  ………………………………..….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………</w:t>
      </w:r>
    </w:p>
    <w:p w14:paraId="740A6EE6" w14:textId="77777777" w:rsidR="00AA25BA" w:rsidRPr="0005093B" w:rsidRDefault="00AA25BA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503CC31A" w14:textId="4E7D251B" w:rsidR="00105ACA" w:rsidRPr="00A50E79" w:rsidRDefault="00E9660C" w:rsidP="00AA1300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05093B">
        <w:rPr>
          <w:rFonts w:ascii="Times New Roman" w:hAnsi="Times New Roman"/>
          <w:szCs w:val="22"/>
        </w:rPr>
        <w:t>,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>znak sprawy:</w:t>
      </w:r>
      <w:r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b/>
          <w:szCs w:val="22"/>
        </w:rPr>
        <w:t>EZ/</w:t>
      </w:r>
      <w:r w:rsidR="0062201B">
        <w:rPr>
          <w:rFonts w:ascii="Times New Roman" w:hAnsi="Times New Roman"/>
          <w:b/>
          <w:szCs w:val="22"/>
        </w:rPr>
        <w:t>7</w:t>
      </w:r>
      <w:r w:rsidR="0017301F">
        <w:rPr>
          <w:rFonts w:ascii="Times New Roman" w:hAnsi="Times New Roman"/>
          <w:b/>
          <w:szCs w:val="22"/>
        </w:rPr>
        <w:t>9</w:t>
      </w:r>
      <w:r w:rsidR="009A31F3" w:rsidRPr="0005093B">
        <w:rPr>
          <w:rFonts w:ascii="Times New Roman" w:hAnsi="Times New Roman"/>
          <w:b/>
          <w:szCs w:val="22"/>
        </w:rPr>
        <w:t>/2023</w:t>
      </w:r>
      <w:r w:rsidRPr="0005093B">
        <w:rPr>
          <w:rFonts w:ascii="Times New Roman" w:hAnsi="Times New Roman"/>
          <w:b/>
          <w:szCs w:val="22"/>
        </w:rPr>
        <w:t>/ESŁ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 xml:space="preserve">prowadzonym </w:t>
      </w:r>
      <w:r w:rsidRPr="0005093B">
        <w:rPr>
          <w:rFonts w:ascii="Times New Roman" w:hAnsi="Times New Roman"/>
          <w:szCs w:val="22"/>
        </w:rPr>
        <w:t>w trybie</w:t>
      </w:r>
      <w:r w:rsidR="000A3D38" w:rsidRPr="0005093B">
        <w:rPr>
          <w:rFonts w:ascii="Times New Roman" w:hAnsi="Times New Roman"/>
          <w:szCs w:val="22"/>
        </w:rPr>
        <w:t xml:space="preserve"> podstawowym</w:t>
      </w:r>
      <w:r w:rsidR="005618E1" w:rsidRPr="0005093B">
        <w:rPr>
          <w:rFonts w:ascii="Times New Roman" w:hAnsi="Times New Roman"/>
          <w:szCs w:val="22"/>
        </w:rPr>
        <w:t xml:space="preserve"> zgodnie z art. </w:t>
      </w:r>
      <w:r w:rsidR="000A3D38" w:rsidRPr="0005093B">
        <w:rPr>
          <w:rFonts w:ascii="Times New Roman" w:hAnsi="Times New Roman"/>
          <w:szCs w:val="22"/>
        </w:rPr>
        <w:t>275 pkt 1</w:t>
      </w:r>
      <w:r w:rsidR="005618E1" w:rsidRPr="0005093B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05093B">
        <w:rPr>
          <w:rFonts w:ascii="Times New Roman" w:hAnsi="Times New Roman"/>
          <w:iCs/>
          <w:szCs w:val="22"/>
        </w:rPr>
        <w:t xml:space="preserve">(tekst jednolity: </w:t>
      </w:r>
      <w:r w:rsidR="005618E1" w:rsidRPr="0005093B">
        <w:rPr>
          <w:rFonts w:ascii="Times New Roman" w:hAnsi="Times New Roman"/>
          <w:szCs w:val="22"/>
        </w:rPr>
        <w:t xml:space="preserve">Dz. U. z </w:t>
      </w:r>
      <w:r w:rsidR="005618E1" w:rsidRPr="0005093B">
        <w:rPr>
          <w:rFonts w:ascii="Times New Roman" w:hAnsi="Times New Roman"/>
          <w:bCs/>
          <w:szCs w:val="22"/>
        </w:rPr>
        <w:t>202</w:t>
      </w:r>
      <w:r w:rsidR="005B4836" w:rsidRPr="0005093B">
        <w:rPr>
          <w:rFonts w:ascii="Times New Roman" w:hAnsi="Times New Roman"/>
          <w:bCs/>
          <w:szCs w:val="22"/>
        </w:rPr>
        <w:t>2</w:t>
      </w:r>
      <w:r w:rsidR="005618E1" w:rsidRPr="0005093B">
        <w:rPr>
          <w:rFonts w:ascii="Times New Roman" w:hAnsi="Times New Roman"/>
          <w:bCs/>
          <w:szCs w:val="22"/>
        </w:rPr>
        <w:t xml:space="preserve"> r. poz. </w:t>
      </w:r>
      <w:r w:rsidR="005B4836" w:rsidRPr="0005093B">
        <w:rPr>
          <w:rFonts w:ascii="Times New Roman" w:hAnsi="Times New Roman"/>
          <w:bCs/>
          <w:szCs w:val="22"/>
        </w:rPr>
        <w:t>1710 ze zm.</w:t>
      </w:r>
      <w:r w:rsidR="005618E1" w:rsidRPr="0005093B">
        <w:rPr>
          <w:rFonts w:ascii="Times New Roman" w:hAnsi="Times New Roman"/>
          <w:szCs w:val="22"/>
        </w:rPr>
        <w:t>)</w:t>
      </w:r>
      <w:r w:rsidRPr="0005093B">
        <w:rPr>
          <w:rFonts w:ascii="Times New Roman" w:hAnsi="Times New Roman"/>
          <w:szCs w:val="22"/>
        </w:rPr>
        <w:t xml:space="preserve"> </w:t>
      </w:r>
      <w:r w:rsidRPr="00A50E79">
        <w:rPr>
          <w:rFonts w:ascii="Times New Roman" w:hAnsi="Times New Roman"/>
          <w:szCs w:val="22"/>
        </w:rPr>
        <w:t xml:space="preserve">na </w:t>
      </w:r>
      <w:r w:rsidR="000A3D38" w:rsidRPr="00A50E79">
        <w:rPr>
          <w:rFonts w:ascii="Times New Roman" w:hAnsi="Times New Roman"/>
          <w:b/>
          <w:bCs/>
          <w:spacing w:val="-6"/>
          <w:szCs w:val="22"/>
        </w:rPr>
        <w:t xml:space="preserve">świadczenie pogwarancyjnej obsługi serwisowej w zakresie przeglądów i konserwacji </w:t>
      </w:r>
      <w:r w:rsidR="00A50E79" w:rsidRPr="00A50E79">
        <w:rPr>
          <w:rFonts w:ascii="Times New Roman" w:hAnsi="Times New Roman"/>
          <w:b/>
          <w:bCs/>
          <w:spacing w:val="-6"/>
          <w:szCs w:val="22"/>
        </w:rPr>
        <w:t xml:space="preserve">aparatów do znieczulenia </w:t>
      </w:r>
      <w:r w:rsidR="00A50E79">
        <w:rPr>
          <w:rFonts w:ascii="Times New Roman" w:hAnsi="Times New Roman"/>
          <w:b/>
          <w:bCs/>
          <w:spacing w:val="-6"/>
          <w:szCs w:val="22"/>
        </w:rPr>
        <w:br/>
      </w:r>
      <w:r w:rsidR="00A50E79" w:rsidRPr="00A50E79">
        <w:rPr>
          <w:rFonts w:ascii="Times New Roman" w:hAnsi="Times New Roman"/>
          <w:b/>
          <w:bCs/>
          <w:spacing w:val="-6"/>
          <w:szCs w:val="22"/>
        </w:rPr>
        <w:t xml:space="preserve">z wyposażeniem dla </w:t>
      </w:r>
      <w:r w:rsidR="000A3D38" w:rsidRPr="00A50E79">
        <w:rPr>
          <w:rFonts w:ascii="Times New Roman" w:hAnsi="Times New Roman"/>
          <w:b/>
          <w:szCs w:val="22"/>
        </w:rPr>
        <w:t>Wojewódzkiego Szpitala Zespolonego w Kielcach</w:t>
      </w:r>
      <w:r w:rsidR="00105ACA" w:rsidRPr="00A50E79">
        <w:rPr>
          <w:rFonts w:ascii="Times New Roman" w:hAnsi="Times New Roman"/>
          <w:b/>
          <w:bCs/>
          <w:color w:val="000000"/>
          <w:szCs w:val="22"/>
        </w:rPr>
        <w:t>:</w:t>
      </w:r>
      <w:r w:rsidR="00105ACA" w:rsidRPr="00A50E79">
        <w:rPr>
          <w:rFonts w:ascii="Times New Roman" w:hAnsi="Times New Roman"/>
          <w:szCs w:val="22"/>
        </w:rPr>
        <w:t xml:space="preserve"> </w:t>
      </w:r>
    </w:p>
    <w:p w14:paraId="46159456" w14:textId="77777777" w:rsidR="005C6662" w:rsidRPr="0005093B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>wykonanie w</w:t>
      </w:r>
      <w:r w:rsidR="00BF3CB2" w:rsidRPr="0005093B">
        <w:rPr>
          <w:rFonts w:ascii="Times New Roman" w:hAnsi="Times New Roman"/>
          <w:spacing w:val="-8"/>
          <w:szCs w:val="22"/>
        </w:rPr>
        <w:t>w</w:t>
      </w:r>
      <w:r w:rsidR="006E0AEC" w:rsidRPr="0005093B">
        <w:rPr>
          <w:rFonts w:ascii="Times New Roman" w:hAnsi="Times New Roman"/>
          <w:spacing w:val="-8"/>
          <w:szCs w:val="22"/>
        </w:rPr>
        <w:t>.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 za cenę</w:t>
      </w:r>
      <w:r w:rsidR="00BF3CB2" w:rsidRPr="0005093B">
        <w:rPr>
          <w:rFonts w:ascii="Times New Roman" w:hAnsi="Times New Roman"/>
          <w:szCs w:val="22"/>
        </w:rPr>
        <w:t>:</w:t>
      </w:r>
    </w:p>
    <w:p w14:paraId="3BAC6280" w14:textId="77777777" w:rsidR="00790E0A" w:rsidRDefault="00790E0A" w:rsidP="00790E0A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60EC0D55" w14:textId="020A11E7" w:rsidR="00790E0A" w:rsidRPr="0005093B" w:rsidRDefault="00790E0A" w:rsidP="00790E0A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</w:pPr>
      <w:r w:rsidRPr="0005093B">
        <w:rPr>
          <w:rFonts w:ascii="Times New Roman" w:hAnsi="Times New Roman"/>
          <w:b/>
          <w:i/>
          <w:iCs/>
          <w:color w:val="FF0000"/>
          <w:kern w:val="2"/>
          <w:szCs w:val="22"/>
          <w:lang w:eastAsia="ar-SA"/>
        </w:rPr>
        <w:t xml:space="preserve">Uwaga: </w:t>
      </w:r>
      <w:r w:rsidRPr="0005093B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W przypadku, gdy Wykonawca składa ofertę nie na wszystkie pakiety, właściwe jest usunięcie </w:t>
      </w:r>
      <w:r w:rsidRPr="0005093B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br/>
        <w:t>z formularza ofertowego informacji dotyczących pakietów do których Wykonawca nie przystępuje</w:t>
      </w:r>
      <w:r w:rsidR="000C20A0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.</w:t>
      </w:r>
    </w:p>
    <w:p w14:paraId="270BB009" w14:textId="77777777" w:rsidR="000E6ED9" w:rsidRDefault="000E6ED9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2DF49941" w14:textId="77777777" w:rsidR="008A2A36" w:rsidRPr="0005093B" w:rsidRDefault="008A2A36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20B57FB4" w14:textId="77777777" w:rsidTr="001E594B">
        <w:trPr>
          <w:trHeight w:val="43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0DC2" w14:textId="78EF2188" w:rsidR="009A31F3" w:rsidRPr="008D004B" w:rsidRDefault="009A31F3" w:rsidP="001E594B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8D004B">
              <w:rPr>
                <w:rFonts w:ascii="Times New Roman" w:hAnsi="Times New Roman" w:cs="Times New Roman"/>
                <w:i w:val="0"/>
                <w:kern w:val="0"/>
                <w:sz w:val="22"/>
                <w:szCs w:val="22"/>
                <w:u w:val="single"/>
                <w:lang w:eastAsia="pl-PL" w:bidi="ar-SA"/>
              </w:rPr>
              <w:t xml:space="preserve">Pakiet 1 </w:t>
            </w:r>
            <w:r w:rsidR="008D004B" w:rsidRPr="008D004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u w:val="single"/>
              </w:rPr>
              <w:t>aparaty do znieczulenia z wyposażeniem</w:t>
            </w:r>
            <w:r w:rsidR="008D004B" w:rsidRPr="008D004B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 xml:space="preserve"> f-my Löwenstein Medical / Nihon Kohden</w:t>
            </w:r>
          </w:p>
        </w:tc>
      </w:tr>
    </w:tbl>
    <w:p w14:paraId="6DF0E704" w14:textId="77777777" w:rsidR="009A31F3" w:rsidRPr="0005093B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DDB815C" w14:textId="77777777" w:rsidR="000E6ED9" w:rsidRPr="0005093B" w:rsidRDefault="000E6ED9" w:rsidP="0093570F">
      <w:pPr>
        <w:pStyle w:val="Tekstpodstawowy"/>
        <w:numPr>
          <w:ilvl w:val="0"/>
          <w:numId w:val="23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="00FE3494" w:rsidRPr="0005093B">
        <w:rPr>
          <w:b/>
          <w:sz w:val="22"/>
          <w:szCs w:val="22"/>
          <w:u w:val="single"/>
        </w:rPr>
        <w:t>za okres</w:t>
      </w:r>
      <w:r w:rsidRPr="0005093B">
        <w:rPr>
          <w:b/>
          <w:sz w:val="22"/>
          <w:szCs w:val="22"/>
          <w:u w:val="single"/>
        </w:rPr>
        <w:t xml:space="preserve"> 36 m</w:t>
      </w:r>
      <w:r w:rsidR="00FE3494" w:rsidRPr="0005093B">
        <w:rPr>
          <w:b/>
          <w:sz w:val="22"/>
          <w:szCs w:val="22"/>
          <w:u w:val="single"/>
        </w:rPr>
        <w:t>iesięcy</w:t>
      </w:r>
      <w:r w:rsidR="0005093B"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>:</w:t>
      </w:r>
      <w:r w:rsidR="00632D8A" w:rsidRPr="0005093B">
        <w:rPr>
          <w:b/>
          <w:sz w:val="22"/>
          <w:szCs w:val="22"/>
        </w:rPr>
        <w:t xml:space="preserve">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78FE7877" w14:textId="77777777" w:rsidR="0005093B" w:rsidRPr="0005093B" w:rsidRDefault="0005093B" w:rsidP="0093570F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 w:rsidR="0093570F"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55606976" w14:textId="77777777" w:rsidR="000E6ED9" w:rsidRPr="0005093B" w:rsidRDefault="000E6ED9" w:rsidP="0093570F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…….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%</w:t>
      </w:r>
    </w:p>
    <w:p w14:paraId="6EBAB3FF" w14:textId="77777777" w:rsidR="000E6ED9" w:rsidRPr="0005093B" w:rsidRDefault="000E6ED9" w:rsidP="0093570F">
      <w:pPr>
        <w:ind w:left="284"/>
        <w:rPr>
          <w:rFonts w:ascii="Times New Roman" w:hAnsi="Times New Roman"/>
          <w:szCs w:val="22"/>
        </w:rPr>
      </w:pPr>
    </w:p>
    <w:p w14:paraId="70D79E6A" w14:textId="77777777" w:rsidR="000E6ED9" w:rsidRPr="0093570F" w:rsidRDefault="000E6ED9" w:rsidP="0093570F">
      <w:pPr>
        <w:pStyle w:val="Akapitzlist"/>
        <w:numPr>
          <w:ilvl w:val="0"/>
          <w:numId w:val="23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9A31F3" w:rsidRPr="0093570F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AE52C04" w14:textId="77777777" w:rsidR="000E6ED9" w:rsidRPr="0093570F" w:rsidRDefault="000E6ED9" w:rsidP="0093570F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>(posiadanie autoryzacji producenta  będzie punktowane zgodnie z kryterium oceny ofert opisanym pkt.</w:t>
      </w:r>
      <w:r w:rsidR="009A31F3"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4D65152" w14:textId="77777777" w:rsidR="000E6ED9" w:rsidRPr="0005093B" w:rsidRDefault="000E6ED9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0CFA95A7" w14:textId="77777777" w:rsidR="000E6ED9" w:rsidRPr="005330E0" w:rsidRDefault="000E6ED9" w:rsidP="005330E0">
      <w:pPr>
        <w:pStyle w:val="Akapitzlist"/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044BD980" w14:textId="77777777" w:rsidR="000E6ED9" w:rsidRPr="001B21F1" w:rsidRDefault="000E6ED9" w:rsidP="005330E0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 w:rsidR="005330E0"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6CE3AEF5" w14:textId="77777777" w:rsidR="009A31F3" w:rsidRDefault="009A31F3" w:rsidP="009A31F3">
      <w:pPr>
        <w:pStyle w:val="Tekstpodstawowy"/>
        <w:widowControl/>
        <w:suppressAutoHyphens/>
        <w:rPr>
          <w:sz w:val="22"/>
          <w:szCs w:val="22"/>
        </w:rPr>
      </w:pPr>
    </w:p>
    <w:p w14:paraId="1AE130CB" w14:textId="77777777" w:rsidR="008A2A36" w:rsidRPr="0005093B" w:rsidRDefault="008A2A36" w:rsidP="009A31F3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41CD86F0" w14:textId="77777777" w:rsidTr="001E594B">
        <w:trPr>
          <w:trHeight w:val="46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D454" w14:textId="552765C2" w:rsidR="009A31F3" w:rsidRPr="008D004B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bookmarkStart w:id="0" w:name="_Hlk65492826"/>
            <w:r w:rsidRPr="008D004B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2</w:t>
            </w:r>
            <w:r w:rsidRPr="008D004B">
              <w:rPr>
                <w:rFonts w:ascii="Times New Roman" w:hAnsi="Times New Roman"/>
                <w:iCs/>
                <w:szCs w:val="22"/>
                <w:u w:val="single"/>
              </w:rPr>
              <w:t xml:space="preserve"> </w:t>
            </w:r>
            <w:r w:rsidR="008D004B" w:rsidRPr="008D004B">
              <w:rPr>
                <w:rFonts w:ascii="Times New Roman" w:hAnsi="Times New Roman"/>
                <w:szCs w:val="22"/>
                <w:u w:val="single"/>
              </w:rPr>
              <w:t xml:space="preserve">aparaty do znieczulenia z wyposażeniem </w:t>
            </w:r>
            <w:r w:rsidR="008D004B" w:rsidRPr="008D004B">
              <w:rPr>
                <w:rFonts w:ascii="Times New Roman" w:hAnsi="Times New Roman"/>
                <w:b/>
                <w:bCs/>
                <w:szCs w:val="22"/>
                <w:u w:val="single"/>
              </w:rPr>
              <w:t>f-my GE Healthcare</w:t>
            </w:r>
          </w:p>
        </w:tc>
      </w:tr>
      <w:bookmarkEnd w:id="0"/>
    </w:tbl>
    <w:p w14:paraId="04BE78BD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1A2A8C15" w14:textId="4F9A7B7A" w:rsidR="00032C42" w:rsidRPr="0005093B" w:rsidRDefault="00032C42" w:rsidP="00A22D07">
      <w:pPr>
        <w:pStyle w:val="Tekstpodstawowy"/>
        <w:numPr>
          <w:ilvl w:val="0"/>
          <w:numId w:val="24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 xml:space="preserve">za okres </w:t>
      </w:r>
      <w:r w:rsidR="00526D91">
        <w:rPr>
          <w:b/>
          <w:sz w:val="22"/>
          <w:szCs w:val="22"/>
          <w:u w:val="single"/>
        </w:rPr>
        <w:t>36</w:t>
      </w:r>
      <w:r w:rsidRPr="0005093B">
        <w:rPr>
          <w:b/>
          <w:sz w:val="22"/>
          <w:szCs w:val="22"/>
          <w:u w:val="single"/>
        </w:rPr>
        <w:t xml:space="preserve">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6D4CB58D" w14:textId="77777777" w:rsidR="00032C42" w:rsidRPr="0005093B" w:rsidRDefault="00032C42" w:rsidP="00032C42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32DDDDB5" w14:textId="77777777" w:rsidR="00032C42" w:rsidRPr="0005093B" w:rsidRDefault="00032C42" w:rsidP="00032C42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7018D19F" w14:textId="77777777" w:rsidR="00032C42" w:rsidRPr="0093570F" w:rsidRDefault="00032C42" w:rsidP="00A22D07">
      <w:pPr>
        <w:pStyle w:val="Akapitzlist"/>
        <w:numPr>
          <w:ilvl w:val="0"/>
          <w:numId w:val="24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lastRenderedPageBreak/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032EC3F7" w14:textId="77777777" w:rsidR="00032C42" w:rsidRPr="0093570F" w:rsidRDefault="00032C42" w:rsidP="00032C42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3420904E" w14:textId="77777777" w:rsidR="00032C42" w:rsidRPr="0005093B" w:rsidRDefault="00032C42" w:rsidP="00032C42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604CD54E" w14:textId="77777777" w:rsidR="00032C42" w:rsidRPr="005330E0" w:rsidRDefault="00032C42" w:rsidP="00A22D07">
      <w:pPr>
        <w:pStyle w:val="Akapitzlist"/>
        <w:widowControl w:val="0"/>
        <w:numPr>
          <w:ilvl w:val="0"/>
          <w:numId w:val="24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7EA0016D" w14:textId="77777777" w:rsidR="00032C42" w:rsidRPr="001B21F1" w:rsidRDefault="00032C42" w:rsidP="00032C42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5B63A89C" w14:textId="77777777" w:rsidR="00032C42" w:rsidRDefault="00032C42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0DC8D62A" w14:textId="77777777" w:rsidR="008A2A36" w:rsidRPr="0005093B" w:rsidRDefault="008A2A36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8A2A36" w14:paraId="04AAE793" w14:textId="77777777" w:rsidTr="001E594B">
        <w:trPr>
          <w:trHeight w:val="41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45CF" w14:textId="2BB59668" w:rsidR="009A31F3" w:rsidRPr="008D004B" w:rsidRDefault="009A31F3" w:rsidP="001E594B">
            <w:pPr>
              <w:jc w:val="center"/>
              <w:rPr>
                <w:rFonts w:ascii="Times New Roman" w:hAnsi="Times New Roman"/>
                <w:iCs/>
                <w:szCs w:val="22"/>
                <w:u w:val="single"/>
              </w:rPr>
            </w:pPr>
            <w:r w:rsidRPr="008D004B">
              <w:rPr>
                <w:rFonts w:ascii="Times New Roman" w:hAnsi="Times New Roman"/>
                <w:b/>
                <w:bCs/>
                <w:iCs/>
                <w:szCs w:val="22"/>
                <w:u w:val="single"/>
              </w:rPr>
              <w:t>Pakiet 3</w:t>
            </w:r>
            <w:r w:rsidRPr="008D004B">
              <w:rPr>
                <w:rFonts w:ascii="Times New Roman" w:hAnsi="Times New Roman"/>
                <w:iCs/>
                <w:szCs w:val="22"/>
                <w:u w:val="single"/>
              </w:rPr>
              <w:t xml:space="preserve"> </w:t>
            </w:r>
            <w:r w:rsidR="008D004B" w:rsidRPr="008D004B">
              <w:rPr>
                <w:rFonts w:ascii="Times New Roman" w:hAnsi="Times New Roman"/>
                <w:szCs w:val="22"/>
                <w:u w:val="single"/>
              </w:rPr>
              <w:t xml:space="preserve">aparaty do znieczulenia z wyposażeniem </w:t>
            </w:r>
            <w:r w:rsidR="008D004B" w:rsidRPr="008D004B">
              <w:rPr>
                <w:rFonts w:ascii="Times New Roman" w:hAnsi="Times New Roman"/>
                <w:b/>
                <w:bCs/>
                <w:szCs w:val="22"/>
                <w:u w:val="single"/>
              </w:rPr>
              <w:t>f-my Dräger Polska</w:t>
            </w:r>
          </w:p>
        </w:tc>
      </w:tr>
    </w:tbl>
    <w:p w14:paraId="2B82AFEC" w14:textId="77777777" w:rsidR="009A31F3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FA3A914" w14:textId="77E8E5E9" w:rsidR="00A22D07" w:rsidRPr="0005093B" w:rsidRDefault="00A22D07" w:rsidP="00A22D07">
      <w:pPr>
        <w:pStyle w:val="Tekstpodstawowy"/>
        <w:numPr>
          <w:ilvl w:val="0"/>
          <w:numId w:val="25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Pr="0005093B">
        <w:rPr>
          <w:b/>
          <w:sz w:val="22"/>
          <w:szCs w:val="22"/>
          <w:u w:val="single"/>
        </w:rPr>
        <w:t xml:space="preserve">za okres </w:t>
      </w:r>
      <w:r w:rsidR="00526D91">
        <w:rPr>
          <w:b/>
          <w:sz w:val="22"/>
          <w:szCs w:val="22"/>
          <w:u w:val="single"/>
        </w:rPr>
        <w:t>36</w:t>
      </w:r>
      <w:r w:rsidRPr="0005093B">
        <w:rPr>
          <w:b/>
          <w:sz w:val="22"/>
          <w:szCs w:val="22"/>
          <w:u w:val="single"/>
        </w:rPr>
        <w:t xml:space="preserve"> miesięcy</w:t>
      </w:r>
      <w:r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 xml:space="preserve">: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..…….……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549A54E2" w14:textId="77777777" w:rsidR="00A22D07" w:rsidRPr="0005093B" w:rsidRDefault="00A22D07" w:rsidP="00A22D07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3FB73C2A" w14:textId="77777777" w:rsidR="00A22D07" w:rsidRPr="0005093B" w:rsidRDefault="00A22D07" w:rsidP="00A22D07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 ……. %</w:t>
      </w:r>
    </w:p>
    <w:p w14:paraId="738BFDD5" w14:textId="77777777" w:rsidR="00A22D07" w:rsidRPr="0005093B" w:rsidRDefault="00A22D07" w:rsidP="00A22D07">
      <w:pPr>
        <w:ind w:left="284"/>
        <w:rPr>
          <w:rFonts w:ascii="Times New Roman" w:hAnsi="Times New Roman"/>
          <w:szCs w:val="22"/>
        </w:rPr>
      </w:pPr>
    </w:p>
    <w:p w14:paraId="6EB35D3A" w14:textId="77777777" w:rsidR="00A22D07" w:rsidRPr="0093570F" w:rsidRDefault="00A22D07" w:rsidP="00A22D07">
      <w:pPr>
        <w:pStyle w:val="Akapitzlist"/>
        <w:numPr>
          <w:ilvl w:val="0"/>
          <w:numId w:val="25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720C5CF9" w14:textId="77777777" w:rsidR="00A22D07" w:rsidRPr="0093570F" w:rsidRDefault="00A22D07" w:rsidP="00A22D07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(posiadanie autoryzacji producenta  będzie punktowane zgodnie z kryterium oceny ofert opisanym pkt.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5F57B3AB" w14:textId="77777777" w:rsidR="00A22D07" w:rsidRPr="0005093B" w:rsidRDefault="00A22D07" w:rsidP="00A22D07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429480A9" w14:textId="77777777" w:rsidR="00A22D07" w:rsidRPr="005330E0" w:rsidRDefault="00A22D07" w:rsidP="00A22D07">
      <w:pPr>
        <w:pStyle w:val="Akapitzlist"/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5618AF8E" w14:textId="77777777" w:rsidR="00A22D07" w:rsidRPr="001B21F1" w:rsidRDefault="00A22D07" w:rsidP="00A22D07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0C13C477" w14:textId="77777777" w:rsidR="00A22D07" w:rsidRDefault="00A22D07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50E9082C" w14:textId="77777777" w:rsidR="00ED610E" w:rsidRPr="0005093B" w:rsidRDefault="00ED610E" w:rsidP="00790E0A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3D987975" w14:textId="77777777" w:rsidR="00681B05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S</w:t>
      </w:r>
      <w:r w:rsidR="00681B05" w:rsidRPr="0005093B">
        <w:rPr>
          <w:sz w:val="22"/>
          <w:szCs w:val="22"/>
        </w:rPr>
        <w:t xml:space="preserve">kładamy niniejszą ofertę przetargową </w:t>
      </w:r>
      <w:r w:rsidR="00681B05" w:rsidRPr="0005093B">
        <w:rPr>
          <w:i/>
          <w:sz w:val="22"/>
          <w:szCs w:val="22"/>
        </w:rPr>
        <w:t>we własnym imieniu** / jako spółka cywilna** / jako konsorcjum, którego partnerzy zostali ujawnieni w pełnomocnictwie o którym mowa w pkt. 1</w:t>
      </w:r>
      <w:r w:rsidRPr="0005093B">
        <w:rPr>
          <w:i/>
          <w:sz w:val="22"/>
          <w:szCs w:val="22"/>
        </w:rPr>
        <w:t>2</w:t>
      </w:r>
      <w:r w:rsidR="00681B05" w:rsidRPr="0005093B">
        <w:rPr>
          <w:i/>
          <w:sz w:val="22"/>
          <w:szCs w:val="22"/>
        </w:rPr>
        <w:t xml:space="preserve"> SWZ</w:t>
      </w:r>
      <w:r w:rsidR="000A3D38" w:rsidRPr="0005093B">
        <w:rPr>
          <w:i/>
          <w:sz w:val="22"/>
          <w:szCs w:val="22"/>
        </w:rPr>
        <w:t>**</w:t>
      </w:r>
      <w:r w:rsidRPr="0005093B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77777777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zamierzamy/nie zamierzamy* zlecić podwykonawcom …………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……………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0C3B6305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77777777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AA25BA">
        <w:rPr>
          <w:i/>
          <w:iCs/>
          <w:sz w:val="22"/>
          <w:szCs w:val="22"/>
        </w:rPr>
        <w:t>2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211"/>
        <w:gridCol w:w="3202"/>
      </w:tblGrid>
      <w:tr w:rsidR="000A3D38" w:rsidRPr="00DA06C6" w14:paraId="7EBC5A3F" w14:textId="77777777" w:rsidTr="00E52315">
        <w:trPr>
          <w:trHeight w:val="345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970F05">
        <w:tc>
          <w:tcPr>
            <w:tcW w:w="2867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3259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259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970F05">
        <w:tc>
          <w:tcPr>
            <w:tcW w:w="2867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970F05">
        <w:tc>
          <w:tcPr>
            <w:tcW w:w="2867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CC90A96" w:rsidR="00A00FFF" w:rsidRPr="0005093B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05093B">
        <w:rPr>
          <w:rFonts w:ascii="Times New Roman" w:hAnsi="Times New Roman"/>
          <w:b/>
          <w:szCs w:val="22"/>
        </w:rPr>
        <w:t>**</w:t>
      </w:r>
    </w:p>
    <w:p w14:paraId="4FCD2443" w14:textId="77777777" w:rsidR="00AA1300" w:rsidRPr="0005093B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14:paraId="0BF50A64" w14:textId="77777777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lastRenderedPageBreak/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77777777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u.p.z.p </w:t>
      </w:r>
      <w:r w:rsidRPr="0005093B">
        <w:rPr>
          <w:rFonts w:ascii="Times New Roman" w:hAnsi="Times New Roman"/>
          <w:i/>
          <w:iCs/>
          <w:szCs w:val="22"/>
        </w:rPr>
        <w:t>będzie prowadził**/nie będzie prowadził**</w:t>
      </w:r>
      <w:r w:rsidRPr="0005093B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1607E11" w14:textId="77777777" w:rsidR="00AA1300" w:rsidRPr="0005093B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77777777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10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1AF6F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50F178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F616ED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0B3FB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6ED3F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5D04A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824BD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63D051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5B19B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BADECD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D0C864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D93040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121B6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625D4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EB83A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24CA6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F50AC1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B7CB92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05093B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BB94" w14:textId="77777777" w:rsidR="007A765B" w:rsidRDefault="007A765B">
      <w:r>
        <w:separator/>
      </w:r>
    </w:p>
  </w:endnote>
  <w:endnote w:type="continuationSeparator" w:id="0">
    <w:p w14:paraId="5282F8DE" w14:textId="77777777" w:rsidR="007A765B" w:rsidRDefault="007A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C72B" w14:textId="77777777" w:rsidR="007A765B" w:rsidRDefault="007A765B">
      <w:r>
        <w:separator/>
      </w:r>
    </w:p>
  </w:footnote>
  <w:footnote w:type="continuationSeparator" w:id="0">
    <w:p w14:paraId="55AA95EE" w14:textId="77777777" w:rsidR="007A765B" w:rsidRDefault="007A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77777777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</w:t>
    </w:r>
    <w:r w:rsidR="00122111">
      <w:rPr>
        <w:rFonts w:ascii="Times New Roman" w:hAnsi="Times New Roman"/>
        <w:b/>
        <w:szCs w:val="22"/>
      </w:rPr>
      <w:t>a</w:t>
    </w:r>
    <w:r w:rsidRPr="009A31F3">
      <w:rPr>
        <w:rFonts w:ascii="Times New Roman" w:hAnsi="Times New Roman"/>
        <w:b/>
        <w:szCs w:val="22"/>
      </w:rPr>
      <w:t xml:space="preserve">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7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071112">
    <w:abstractNumId w:val="16"/>
  </w:num>
  <w:num w:numId="2" w16cid:durableId="1511220848">
    <w:abstractNumId w:val="2"/>
  </w:num>
  <w:num w:numId="3" w16cid:durableId="862396897">
    <w:abstractNumId w:val="0"/>
  </w:num>
  <w:num w:numId="4" w16cid:durableId="1993868678">
    <w:abstractNumId w:val="26"/>
  </w:num>
  <w:num w:numId="5" w16cid:durableId="602304345">
    <w:abstractNumId w:val="4"/>
  </w:num>
  <w:num w:numId="6" w16cid:durableId="1970276792">
    <w:abstractNumId w:val="23"/>
  </w:num>
  <w:num w:numId="7" w16cid:durableId="2024236072">
    <w:abstractNumId w:val="18"/>
  </w:num>
  <w:num w:numId="8" w16cid:durableId="229273009">
    <w:abstractNumId w:val="7"/>
  </w:num>
  <w:num w:numId="9" w16cid:durableId="1994983355">
    <w:abstractNumId w:val="1"/>
  </w:num>
  <w:num w:numId="10" w16cid:durableId="1147480491">
    <w:abstractNumId w:val="24"/>
  </w:num>
  <w:num w:numId="11" w16cid:durableId="1248881799">
    <w:abstractNumId w:val="8"/>
  </w:num>
  <w:num w:numId="12" w16cid:durableId="10103718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978546">
    <w:abstractNumId w:val="16"/>
    <w:lvlOverride w:ilvl="0">
      <w:startOverride w:val="6"/>
    </w:lvlOverride>
  </w:num>
  <w:num w:numId="14" w16cid:durableId="270019460">
    <w:abstractNumId w:val="17"/>
  </w:num>
  <w:num w:numId="15" w16cid:durableId="820466723">
    <w:abstractNumId w:val="12"/>
  </w:num>
  <w:num w:numId="16" w16cid:durableId="147013357">
    <w:abstractNumId w:val="3"/>
  </w:num>
  <w:num w:numId="17" w16cid:durableId="1231887433">
    <w:abstractNumId w:val="16"/>
    <w:lvlOverride w:ilvl="0">
      <w:startOverride w:val="1"/>
    </w:lvlOverride>
  </w:num>
  <w:num w:numId="18" w16cid:durableId="1450974999">
    <w:abstractNumId w:val="5"/>
  </w:num>
  <w:num w:numId="19" w16cid:durableId="19163548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06746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2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29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0724827">
    <w:abstractNumId w:val="11"/>
  </w:num>
  <w:num w:numId="24" w16cid:durableId="2029520160">
    <w:abstractNumId w:val="20"/>
  </w:num>
  <w:num w:numId="25" w16cid:durableId="1713534341">
    <w:abstractNumId w:val="14"/>
  </w:num>
  <w:num w:numId="26" w16cid:durableId="1272860305">
    <w:abstractNumId w:val="25"/>
  </w:num>
  <w:num w:numId="27" w16cid:durableId="1384212456">
    <w:abstractNumId w:val="13"/>
  </w:num>
  <w:num w:numId="28" w16cid:durableId="1000886960">
    <w:abstractNumId w:val="9"/>
  </w:num>
  <w:num w:numId="29" w16cid:durableId="1342077836">
    <w:abstractNumId w:val="22"/>
  </w:num>
  <w:num w:numId="30" w16cid:durableId="1682856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EF7"/>
    <w:rsid w:val="00042CDE"/>
    <w:rsid w:val="00043F9D"/>
    <w:rsid w:val="0005093B"/>
    <w:rsid w:val="000649D4"/>
    <w:rsid w:val="0007208C"/>
    <w:rsid w:val="00074BA0"/>
    <w:rsid w:val="00077F39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2111"/>
    <w:rsid w:val="00123798"/>
    <w:rsid w:val="001335BF"/>
    <w:rsid w:val="00137230"/>
    <w:rsid w:val="00142706"/>
    <w:rsid w:val="001462F7"/>
    <w:rsid w:val="00154096"/>
    <w:rsid w:val="00154411"/>
    <w:rsid w:val="00161CA6"/>
    <w:rsid w:val="0017062B"/>
    <w:rsid w:val="00172A93"/>
    <w:rsid w:val="0017301F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6FCF"/>
    <w:rsid w:val="001B0F7B"/>
    <w:rsid w:val="001B21F1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4B"/>
    <w:rsid w:val="001E5995"/>
    <w:rsid w:val="001F5292"/>
    <w:rsid w:val="00200D39"/>
    <w:rsid w:val="00201301"/>
    <w:rsid w:val="00207584"/>
    <w:rsid w:val="0021447D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96EBF"/>
    <w:rsid w:val="00397F5F"/>
    <w:rsid w:val="003B205A"/>
    <w:rsid w:val="003E1B69"/>
    <w:rsid w:val="003F467F"/>
    <w:rsid w:val="00412166"/>
    <w:rsid w:val="00413700"/>
    <w:rsid w:val="0042734C"/>
    <w:rsid w:val="00430877"/>
    <w:rsid w:val="00432D22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26D91"/>
    <w:rsid w:val="005330E0"/>
    <w:rsid w:val="0055562E"/>
    <w:rsid w:val="0056027B"/>
    <w:rsid w:val="005618E1"/>
    <w:rsid w:val="00562EA8"/>
    <w:rsid w:val="00572F04"/>
    <w:rsid w:val="00574B88"/>
    <w:rsid w:val="00585E8F"/>
    <w:rsid w:val="005952D1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99E"/>
    <w:rsid w:val="006E0AEC"/>
    <w:rsid w:val="006E7147"/>
    <w:rsid w:val="006F0B9B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634C"/>
    <w:rsid w:val="007A40E7"/>
    <w:rsid w:val="007A765B"/>
    <w:rsid w:val="007B06AD"/>
    <w:rsid w:val="007B4A11"/>
    <w:rsid w:val="007B7F28"/>
    <w:rsid w:val="007E313F"/>
    <w:rsid w:val="007E78BD"/>
    <w:rsid w:val="007F46DB"/>
    <w:rsid w:val="00802773"/>
    <w:rsid w:val="0080477F"/>
    <w:rsid w:val="00827279"/>
    <w:rsid w:val="00837E17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D004B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3570F"/>
    <w:rsid w:val="00942CEF"/>
    <w:rsid w:val="00944BBB"/>
    <w:rsid w:val="009569D0"/>
    <w:rsid w:val="00961A52"/>
    <w:rsid w:val="0097127A"/>
    <w:rsid w:val="009719B1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D07"/>
    <w:rsid w:val="00A300AF"/>
    <w:rsid w:val="00A32F6C"/>
    <w:rsid w:val="00A411FC"/>
    <w:rsid w:val="00A47B9F"/>
    <w:rsid w:val="00A50E79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65433"/>
    <w:rsid w:val="00B72B55"/>
    <w:rsid w:val="00B74DD4"/>
    <w:rsid w:val="00B85715"/>
    <w:rsid w:val="00B8686A"/>
    <w:rsid w:val="00B87003"/>
    <w:rsid w:val="00B939AB"/>
    <w:rsid w:val="00B94377"/>
    <w:rsid w:val="00B94D3D"/>
    <w:rsid w:val="00B95CC5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17F7"/>
    <w:rsid w:val="00BF3CB2"/>
    <w:rsid w:val="00C00CAD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4CE8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6149"/>
    <w:rsid w:val="00D37B34"/>
    <w:rsid w:val="00D40EF2"/>
    <w:rsid w:val="00D461BA"/>
    <w:rsid w:val="00D61D1B"/>
    <w:rsid w:val="00D71277"/>
    <w:rsid w:val="00D72179"/>
    <w:rsid w:val="00D84B95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25F6"/>
    <w:rsid w:val="00E04107"/>
    <w:rsid w:val="00E06BD2"/>
    <w:rsid w:val="00E07B59"/>
    <w:rsid w:val="00E1031C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2672"/>
    <w:rsid w:val="00E66CC9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0041"/>
    <w:rsid w:val="00EC1A50"/>
    <w:rsid w:val="00EC31D8"/>
    <w:rsid w:val="00EC61E0"/>
    <w:rsid w:val="00EC7B8F"/>
    <w:rsid w:val="00EC7E23"/>
    <w:rsid w:val="00ED2756"/>
    <w:rsid w:val="00ED598B"/>
    <w:rsid w:val="00ED610E"/>
    <w:rsid w:val="00EE2FDF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6C95"/>
    <w:rsid w:val="00F45B1E"/>
    <w:rsid w:val="00F635F5"/>
    <w:rsid w:val="00F63AF1"/>
    <w:rsid w:val="00F76DD1"/>
    <w:rsid w:val="00F7792F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DE39-B635-4873-8A3F-99F1AD7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52</cp:revision>
  <cp:lastPrinted>2018-09-11T06:43:00Z</cp:lastPrinted>
  <dcterms:created xsi:type="dcterms:W3CDTF">2023-04-06T07:35:00Z</dcterms:created>
  <dcterms:modified xsi:type="dcterms:W3CDTF">2023-04-17T10:18:00Z</dcterms:modified>
</cp:coreProperties>
</file>