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3935C093" w14:textId="484A24B7" w:rsidR="00E4330B" w:rsidRPr="007C7274" w:rsidRDefault="008623BE" w:rsidP="007C7274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r w:rsidR="001C3826" w:rsidRPr="001C382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461F84" w:rsidRPr="00461F84">
        <w:rPr>
          <w:rFonts w:ascii="Arial Narrow" w:eastAsia="Times New Roman" w:hAnsi="Arial Narrow" w:cs="Times New Roman"/>
          <w:b/>
          <w:bCs/>
          <w:lang w:eastAsia="ar-SA"/>
        </w:rPr>
        <w:t>Sukcesywne dostawy materiałów eksploatacyjnych dla potrzeb Centralnej Sterylizatorni Wojewódzkiego Szpitala Zespolonego w Kielcach, znak sprawy EZ/ZP/69/2023/UG</w:t>
      </w:r>
      <w:bookmarkStart w:id="4" w:name="_GoBack"/>
      <w:bookmarkEnd w:id="2"/>
      <w:bookmarkEnd w:id="3"/>
      <w:bookmarkEnd w:id="4"/>
      <w:r w:rsidRPr="009607D6">
        <w:rPr>
          <w:rFonts w:ascii="Arial Narrow" w:hAnsi="Arial Narrow" w:cstheme="minorHAnsi"/>
        </w:rPr>
        <w:t>, oświadczam, co następuje:</w:t>
      </w:r>
    </w:p>
    <w:p w14:paraId="3C2D2342" w14:textId="54A91DCF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lastRenderedPageBreak/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9084" w14:textId="77777777" w:rsidR="00A85AAD" w:rsidRDefault="00A85AAD" w:rsidP="0038231F">
      <w:pPr>
        <w:spacing w:after="0" w:line="240" w:lineRule="auto"/>
      </w:pPr>
      <w:r>
        <w:separator/>
      </w:r>
    </w:p>
  </w:endnote>
  <w:endnote w:type="continuationSeparator" w:id="0">
    <w:p w14:paraId="3E931A32" w14:textId="77777777" w:rsidR="00A85AAD" w:rsidRDefault="00A85A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="00461F84">
      <w:rPr>
        <w:rFonts w:ascii="Arial Narrow" w:hAnsi="Arial Narrow" w:cs="Arial"/>
        <w:noProof/>
        <w:sz w:val="18"/>
        <w:szCs w:val="18"/>
      </w:rPr>
      <w:t>2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48791" w14:textId="77777777" w:rsidR="00A85AAD" w:rsidRDefault="00A85AAD" w:rsidP="0038231F">
      <w:pPr>
        <w:spacing w:after="0" w:line="240" w:lineRule="auto"/>
      </w:pPr>
      <w:r>
        <w:separator/>
      </w:r>
    </w:p>
  </w:footnote>
  <w:footnote w:type="continuationSeparator" w:id="0">
    <w:p w14:paraId="4ADB24C2" w14:textId="77777777" w:rsidR="00A85AAD" w:rsidRDefault="00A85AAD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</w:t>
      </w:r>
      <w:bookmarkStart w:id="1" w:name="_Hlk127522525"/>
      <w:r w:rsidRPr="005C2F96">
        <w:rPr>
          <w:rFonts w:ascii="Arial Narrow" w:hAnsi="Arial Narrow" w:cs="Arial"/>
          <w:b/>
          <w:bCs/>
          <w:sz w:val="28"/>
          <w:szCs w:val="28"/>
        </w:rPr>
        <w:t>niepotrzebne skreślić</w:t>
      </w:r>
    </w:p>
    <w:bookmarkEnd w:id="1"/>
  </w:footnote>
  <w:footnote w:id="2">
    <w:p w14:paraId="76E982A2" w14:textId="6D422E3C" w:rsidR="007C7274" w:rsidRPr="007C7274" w:rsidRDefault="007C7274">
      <w:pPr>
        <w:pStyle w:val="Tekstprzypisudolnego"/>
        <w:rPr>
          <w:rFonts w:ascii="Arial Narrow" w:hAnsi="Arial Narrow"/>
          <w:b/>
          <w:bCs/>
          <w:sz w:val="28"/>
          <w:szCs w:val="28"/>
        </w:rPr>
      </w:pPr>
      <w:r w:rsidRPr="007C7274">
        <w:rPr>
          <w:rStyle w:val="Odwoanieprzypisudolnego"/>
          <w:rFonts w:ascii="Arial Narrow" w:hAnsi="Arial Narrow"/>
          <w:b/>
          <w:bCs/>
          <w:sz w:val="28"/>
          <w:szCs w:val="28"/>
        </w:rPr>
        <w:footnoteRef/>
      </w:r>
      <w:r w:rsidRPr="007C7274">
        <w:rPr>
          <w:rFonts w:ascii="Arial Narrow" w:hAnsi="Arial Narrow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60E8EC92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461F84">
      <w:rPr>
        <w:rFonts w:ascii="Arial Narrow" w:hAnsi="Arial Narrow" w:cstheme="minorHAnsi"/>
        <w:b/>
      </w:rPr>
      <w:t>69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461F84">
      <w:rPr>
        <w:rFonts w:ascii="Arial Narrow" w:hAnsi="Arial Narrow" w:cstheme="minorHAnsi"/>
        <w:b/>
      </w:rPr>
      <w:t>UG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61F84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1F84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85AAD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D4C7-304D-4E05-B431-C6674A1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2023-04-11T09:38:00Z</cp:lastPrinted>
  <dcterms:created xsi:type="dcterms:W3CDTF">2023-04-11T09:38:00Z</dcterms:created>
  <dcterms:modified xsi:type="dcterms:W3CDTF">2023-04-11T09:38:00Z</dcterms:modified>
</cp:coreProperties>
</file>