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B8C36" w14:textId="254103FC" w:rsidR="00BD0252" w:rsidRDefault="00000000">
      <w:pPr>
        <w:pStyle w:val="Nagwek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EZ/</w:t>
      </w:r>
      <w:r w:rsidR="00434D0A">
        <w:rPr>
          <w:rFonts w:ascii="Times New Roman" w:hAnsi="Times New Roman" w:cs="Times New Roman"/>
          <w:b/>
          <w:bCs/>
          <w:sz w:val="22"/>
          <w:szCs w:val="22"/>
        </w:rPr>
        <w:t>15/2025</w:t>
      </w:r>
      <w:r>
        <w:rPr>
          <w:rFonts w:ascii="Times New Roman" w:hAnsi="Times New Roman" w:cs="Times New Roman"/>
          <w:b/>
          <w:bCs/>
          <w:sz w:val="22"/>
          <w:szCs w:val="22"/>
        </w:rPr>
        <w:t>/WS</w:t>
      </w:r>
    </w:p>
    <w:p w14:paraId="1C4EE224" w14:textId="77777777" w:rsidR="00BD0252" w:rsidRDefault="00000000">
      <w:pPr>
        <w:jc w:val="right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2.1 do SWZ</w:t>
      </w:r>
    </w:p>
    <w:p w14:paraId="19462F8F" w14:textId="77777777" w:rsidR="00BD0252" w:rsidRDefault="00000000">
      <w:pPr>
        <w:jc w:val="right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......... do Umowy</w:t>
      </w:r>
    </w:p>
    <w:p w14:paraId="349B486F" w14:textId="77777777" w:rsidR="00BD0252" w:rsidRDefault="00BD0252">
      <w:pPr>
        <w:jc w:val="right"/>
        <w:rPr>
          <w:rFonts w:hint="eastAsia"/>
          <w:b/>
          <w:bCs/>
          <w:sz w:val="22"/>
          <w:szCs w:val="22"/>
        </w:rPr>
      </w:pPr>
    </w:p>
    <w:p w14:paraId="443688BD" w14:textId="77777777" w:rsidR="00BD0252" w:rsidRDefault="00000000">
      <w:pPr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ZESTAWIENIE PARAMETRÓW I WARUNKÓW TECHNICZNYCH </w:t>
      </w:r>
    </w:p>
    <w:p w14:paraId="7B28A042" w14:textId="77777777" w:rsidR="00BD0252" w:rsidRDefault="00BD0252">
      <w:pPr>
        <w:rPr>
          <w:rFonts w:hint="eastAsia"/>
          <w:b/>
          <w:bCs/>
          <w:sz w:val="22"/>
          <w:szCs w:val="22"/>
        </w:rPr>
      </w:pPr>
    </w:p>
    <w:p w14:paraId="60990FDE" w14:textId="77777777" w:rsidR="00BD0252" w:rsidRDefault="00000000">
      <w:pPr>
        <w:jc w:val="center"/>
        <w:rPr>
          <w:rFonts w:hint="eastAsia"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Pakiet nr 1</w:t>
      </w:r>
    </w:p>
    <w:p w14:paraId="6B029648" w14:textId="77777777" w:rsidR="00BD0252" w:rsidRDefault="00BD0252">
      <w:pPr>
        <w:jc w:val="center"/>
        <w:rPr>
          <w:rFonts w:hint="eastAsia"/>
          <w:b/>
          <w:bCs/>
          <w:sz w:val="22"/>
          <w:szCs w:val="22"/>
          <w:u w:val="single"/>
        </w:rPr>
      </w:pPr>
    </w:p>
    <w:p w14:paraId="5D4C31CE" w14:textId="77777777" w:rsidR="00BD0252" w:rsidRDefault="00000000">
      <w:pPr>
        <w:pStyle w:val="Standarduser"/>
        <w:tabs>
          <w:tab w:val="left" w:pos="2124"/>
        </w:tabs>
        <w:spacing w:line="200" w:lineRule="atLeast"/>
        <w:jc w:val="center"/>
        <w:rPr>
          <w:b/>
          <w:bCs/>
        </w:rPr>
      </w:pPr>
      <w:r>
        <w:rPr>
          <w:b/>
          <w:bCs/>
        </w:rPr>
        <w:t>Pompy insulinowe dla dzieci  od 0 do 18 roku życia- system zintegrowany z możliwością automatyzacji  i włączenia AHCL  dla dzieci z niedocukrzeniami  i/ lub nie sygnalizującymi objawów niedocukrzenia – 50 sztuk</w:t>
      </w:r>
    </w:p>
    <w:p w14:paraId="4F1F8A2C" w14:textId="77777777" w:rsidR="00BD0252" w:rsidRDefault="00BD0252">
      <w:pPr>
        <w:pStyle w:val="Standarduser"/>
        <w:tabs>
          <w:tab w:val="left" w:pos="2124"/>
        </w:tabs>
        <w:spacing w:line="200" w:lineRule="atLeast"/>
        <w:jc w:val="center"/>
        <w:rPr>
          <w:b/>
          <w:bCs/>
        </w:rPr>
      </w:pPr>
    </w:p>
    <w:p w14:paraId="080487C4" w14:textId="77777777" w:rsidR="00BD0252" w:rsidRDefault="00000000">
      <w:pPr>
        <w:widowControl w:val="0"/>
        <w:jc w:val="both"/>
        <w:textAlignment w:val="auto"/>
        <w:rPr>
          <w:rFonts w:ascii="Times New Roman" w:hAnsi="Times New Roman" w:cs="Times New Roman"/>
          <w:b/>
          <w:bCs/>
          <w:spacing w:val="-4"/>
          <w:sz w:val="22"/>
          <w:szCs w:val="22"/>
          <w:u w:val="single"/>
          <w:lang w:eastAsia="pl-PL"/>
        </w:rPr>
      </w:pPr>
      <w:bookmarkStart w:id="0" w:name="_Hlk165876735"/>
      <w:r>
        <w:rPr>
          <w:rFonts w:ascii="Times New Roman" w:hAnsi="Times New Roman" w:cs="Times New Roman"/>
          <w:b/>
          <w:bCs/>
          <w:spacing w:val="-4"/>
          <w:sz w:val="22"/>
          <w:szCs w:val="22"/>
          <w:u w:val="single"/>
          <w:lang w:eastAsia="pl-PL"/>
        </w:rPr>
        <w:t>Na cenę ofertową brutto składają się:</w:t>
      </w:r>
    </w:p>
    <w:p w14:paraId="30D90C26" w14:textId="77777777" w:rsidR="00BD0252" w:rsidRDefault="00BD0252">
      <w:pPr>
        <w:widowControl w:val="0"/>
        <w:jc w:val="both"/>
        <w:textAlignment w:val="auto"/>
        <w:rPr>
          <w:rFonts w:ascii="Times New Roman" w:hAnsi="Times New Roman" w:cs="Times New Roman"/>
          <w:b/>
          <w:bCs/>
          <w:spacing w:val="-4"/>
          <w:sz w:val="22"/>
          <w:szCs w:val="22"/>
          <w:u w:val="single"/>
          <w:lang w:eastAsia="pl-PL"/>
        </w:rPr>
      </w:pPr>
    </w:p>
    <w:tbl>
      <w:tblPr>
        <w:tblW w:w="98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5882"/>
        <w:gridCol w:w="766"/>
        <w:gridCol w:w="1134"/>
        <w:gridCol w:w="1418"/>
      </w:tblGrid>
      <w:tr w:rsidR="00BD0252" w14:paraId="7635324F" w14:textId="77777777">
        <w:trPr>
          <w:trHeight w:val="555"/>
          <w:jc w:val="center"/>
        </w:trPr>
        <w:tc>
          <w:tcPr>
            <w:tcW w:w="69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B3CC26" w14:textId="77777777" w:rsidR="00BD0252" w:rsidRDefault="00000000">
            <w:pPr>
              <w:widowControl w:val="0"/>
              <w:jc w:val="both"/>
              <w:textAlignment w:val="auto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588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AB8614" w14:textId="77777777" w:rsidR="00BD0252" w:rsidRDefault="00000000">
            <w:pPr>
              <w:widowControl w:val="0"/>
              <w:jc w:val="both"/>
              <w:textAlignment w:val="auto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  <w:t>Nazwa urządzenia</w:t>
            </w:r>
          </w:p>
        </w:tc>
        <w:tc>
          <w:tcPr>
            <w:tcW w:w="76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43708E" w14:textId="77777777" w:rsidR="00BD0252" w:rsidRDefault="00000000">
            <w:pPr>
              <w:widowControl w:val="0"/>
              <w:jc w:val="both"/>
              <w:textAlignment w:val="auto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  <w:t xml:space="preserve">Ilość </w:t>
            </w:r>
          </w:p>
          <w:p w14:paraId="2A41AF69" w14:textId="77777777" w:rsidR="00BD0252" w:rsidRDefault="00000000">
            <w:pPr>
              <w:widowControl w:val="0"/>
              <w:jc w:val="both"/>
              <w:textAlignment w:val="auto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30EFC" w14:textId="77777777" w:rsidR="00BD0252" w:rsidRDefault="00000000">
            <w:pPr>
              <w:widowControl w:val="0"/>
              <w:jc w:val="both"/>
              <w:textAlignment w:val="auto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  <w:t xml:space="preserve">Cena jedn. </w:t>
            </w:r>
          </w:p>
          <w:p w14:paraId="6B92AA18" w14:textId="77777777" w:rsidR="00BD0252" w:rsidRDefault="00000000">
            <w:pPr>
              <w:widowControl w:val="0"/>
              <w:jc w:val="both"/>
              <w:textAlignment w:val="auto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943EAC" w14:textId="77777777" w:rsidR="00BD0252" w:rsidRDefault="00000000">
            <w:pPr>
              <w:widowControl w:val="0"/>
              <w:jc w:val="both"/>
              <w:textAlignment w:val="auto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  <w:t>Wartość brutto</w:t>
            </w:r>
          </w:p>
        </w:tc>
      </w:tr>
      <w:tr w:rsidR="00BD0252" w14:paraId="3291B98B" w14:textId="77777777">
        <w:trPr>
          <w:trHeight w:val="610"/>
          <w:jc w:val="center"/>
        </w:trPr>
        <w:tc>
          <w:tcPr>
            <w:tcW w:w="69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7FB34" w14:textId="0FECBE0B" w:rsidR="00BD0252" w:rsidRDefault="00000000" w:rsidP="00270651">
            <w:pPr>
              <w:widowControl w:val="0"/>
              <w:jc w:val="center"/>
              <w:textAlignment w:val="auto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eastAsia="pl-PL"/>
              </w:rPr>
              <w:t>1</w:t>
            </w:r>
            <w:r w:rsidR="00270651"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8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CCF97F" w14:textId="77777777" w:rsidR="00BD0252" w:rsidRDefault="00000000">
            <w:pPr>
              <w:widowControl w:val="0"/>
              <w:textAlignment w:val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Pompy insulinowe dla dzieci  od 0 do 18 roku życia- system zintegrowany z możliwością automatyzacji  i włączenia AHCL  dla dzieci z niedocukrzeniami  i/ lub nie sygnalizującymi objawów niedocukrzenia – 50 sztuk</w:t>
            </w:r>
          </w:p>
        </w:tc>
        <w:tc>
          <w:tcPr>
            <w:tcW w:w="76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C3D81" w14:textId="77777777" w:rsidR="00BD0252" w:rsidRDefault="00000000">
            <w:pPr>
              <w:widowControl w:val="0"/>
              <w:jc w:val="center"/>
              <w:textAlignment w:val="auto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203276" w14:textId="77777777" w:rsidR="00BD0252" w:rsidRDefault="00BD0252">
            <w:pPr>
              <w:widowControl w:val="0"/>
              <w:jc w:val="both"/>
              <w:textAlignment w:val="auto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3CC657" w14:textId="77777777" w:rsidR="00BD0252" w:rsidRDefault="00BD0252">
            <w:pPr>
              <w:widowControl w:val="0"/>
              <w:jc w:val="both"/>
              <w:textAlignment w:val="auto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eastAsia="pl-PL"/>
              </w:rPr>
            </w:pPr>
          </w:p>
        </w:tc>
      </w:tr>
      <w:tr w:rsidR="00BD0252" w14:paraId="1B857226" w14:textId="77777777">
        <w:trPr>
          <w:trHeight w:val="474"/>
          <w:jc w:val="center"/>
        </w:trPr>
        <w:tc>
          <w:tcPr>
            <w:tcW w:w="8479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7DD58" w14:textId="77777777" w:rsidR="00BD0252" w:rsidRDefault="00000000">
            <w:pPr>
              <w:widowControl w:val="0"/>
              <w:jc w:val="right"/>
              <w:textAlignment w:val="auto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33643" w14:textId="77777777" w:rsidR="00BD0252" w:rsidRDefault="00BD0252">
            <w:pPr>
              <w:widowControl w:val="0"/>
              <w:jc w:val="right"/>
              <w:textAlignment w:val="auto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eastAsia="pl-PL"/>
              </w:rPr>
            </w:pPr>
          </w:p>
        </w:tc>
      </w:tr>
      <w:bookmarkEnd w:id="0"/>
    </w:tbl>
    <w:p w14:paraId="6978CC0E" w14:textId="77777777" w:rsidR="00BD0252" w:rsidRDefault="00BD0252">
      <w:pPr>
        <w:pStyle w:val="Standarduser"/>
        <w:tabs>
          <w:tab w:val="left" w:pos="2124"/>
        </w:tabs>
        <w:spacing w:line="200" w:lineRule="atLeast"/>
        <w:rPr>
          <w:b/>
          <w:bCs/>
        </w:rPr>
      </w:pPr>
    </w:p>
    <w:p w14:paraId="5A393463" w14:textId="77777777" w:rsidR="00BD0252" w:rsidRDefault="00000000">
      <w:pPr>
        <w:suppressAutoHyphens w:val="0"/>
        <w:textAlignment w:val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Producent …………………………………………………………………………………..</w:t>
      </w:r>
    </w:p>
    <w:p w14:paraId="5F9BAB1B" w14:textId="77777777" w:rsidR="00BD0252" w:rsidRDefault="00000000">
      <w:pPr>
        <w:suppressAutoHyphens w:val="0"/>
        <w:textAlignment w:val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Dostawca ………………………………………………………..</w:t>
      </w:r>
    </w:p>
    <w:p w14:paraId="72000F49" w14:textId="77777777" w:rsidR="00BD0252" w:rsidRDefault="00000000">
      <w:pPr>
        <w:suppressAutoHyphens w:val="0"/>
        <w:textAlignment w:val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Nazwa produktu / Model / Typ / Nr katalogowy ……………………………………..…………………</w:t>
      </w:r>
    </w:p>
    <w:p w14:paraId="0757539E" w14:textId="77777777" w:rsidR="00BD0252" w:rsidRDefault="00000000">
      <w:pPr>
        <w:suppressAutoHyphens w:val="0"/>
        <w:textAlignment w:val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Kraj pochodzenia …………………………………………</w:t>
      </w:r>
    </w:p>
    <w:p w14:paraId="3C2F7DAF" w14:textId="77777777" w:rsidR="00BD0252" w:rsidRDefault="00BD0252">
      <w:pPr>
        <w:pStyle w:val="Standarduser"/>
        <w:spacing w:line="100" w:lineRule="atLeast"/>
        <w:rPr>
          <w:b/>
          <w:bCs/>
        </w:rPr>
      </w:pPr>
    </w:p>
    <w:tbl>
      <w:tblPr>
        <w:tblW w:w="10784" w:type="dxa"/>
        <w:tblInd w:w="-3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"/>
        <w:gridCol w:w="4321"/>
        <w:gridCol w:w="2268"/>
        <w:gridCol w:w="3621"/>
      </w:tblGrid>
      <w:tr w:rsidR="00BD0252" w14:paraId="4111B41B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4F57FA4" w14:textId="77777777" w:rsidR="00BD0252" w:rsidRDefault="00000000">
            <w:pPr>
              <w:pStyle w:val="Standarduser"/>
              <w:spacing w:line="360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L.p.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92E5A9E" w14:textId="77777777" w:rsidR="00BD0252" w:rsidRDefault="00000000">
            <w:pPr>
              <w:pStyle w:val="Standarduser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Parametry techniczne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62574766" w14:textId="77777777" w:rsidR="00BD0252" w:rsidRDefault="00000000">
            <w:pPr>
              <w:pStyle w:val="Tekstpodstawowy31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Parametr wymagany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95AF264" w14:textId="77777777" w:rsidR="00BD0252" w:rsidRDefault="00000000">
            <w:pPr>
              <w:pStyle w:val="Tekstpodstawowy31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Opis parametrów oferowanych</w:t>
            </w:r>
          </w:p>
        </w:tc>
      </w:tr>
      <w:tr w:rsidR="00BD0252" w14:paraId="23D45CE1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F37381D" w14:textId="5AB8A54F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6470953D" w14:textId="77777777" w:rsidR="00BD0252" w:rsidRDefault="00000000">
            <w:pPr>
              <w:pStyle w:val="Standarduser"/>
              <w:jc w:val="both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Urządzenie fabrycznie nowe, nie starsze niż 2024 rok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E1A23CB" w14:textId="77777777" w:rsidR="00BD0252" w:rsidRDefault="00000000">
            <w:pPr>
              <w:pStyle w:val="Standarduser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</w:tcPr>
          <w:p w14:paraId="5BDC0C65" w14:textId="77777777" w:rsidR="00BD0252" w:rsidRDefault="00BD0252">
            <w:pPr>
              <w:pStyle w:val="Standarduser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1596B33B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24FBE394" w14:textId="0548F3AB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</w:tcPr>
          <w:p w14:paraId="6E567550" w14:textId="77777777" w:rsidR="00BD0252" w:rsidRDefault="00000000">
            <w:pPr>
              <w:pStyle w:val="Standarduser"/>
              <w:jc w:val="both"/>
              <w:rPr>
                <w:rFonts w:cs="Tahoma"/>
                <w:color w:val="000000"/>
                <w:spacing w:val="-5"/>
              </w:rPr>
            </w:pPr>
            <w:r>
              <w:rPr>
                <w:rFonts w:cs="Tahoma"/>
                <w:color w:val="000000"/>
                <w:spacing w:val="-5"/>
              </w:rPr>
              <w:t>Masa pompy z baterią i pojemnikiem na insulinę  [g]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5DF6205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</w:tcPr>
          <w:p w14:paraId="65C01947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  <w:spacing w:val="-6"/>
              </w:rPr>
            </w:pPr>
          </w:p>
        </w:tc>
      </w:tr>
      <w:tr w:rsidR="00BD0252" w14:paraId="3F505D6F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1668A44" w14:textId="468C092E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65D33681" w14:textId="77777777" w:rsidR="00BD0252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  <w:spacing w:val="-2"/>
              </w:rPr>
            </w:pPr>
            <w:r>
              <w:rPr>
                <w:rFonts w:cs="Tahoma"/>
                <w:color w:val="000000"/>
                <w:spacing w:val="-2"/>
              </w:rPr>
              <w:t>Zasilanie pompy z baterii ogólnodostępnej w sprzedaży w Polsce (sieć supermarketów, stacje benzynowe, kioski typu „Ruch”, sklepy ze sprzętem AGD i RTV, apteki)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2DEF0F7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6DCF2877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3672D023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91D3D13" w14:textId="6BE18A85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1BCBBE6" w14:textId="77777777" w:rsidR="00BD0252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Klasa ochrony przed wilgocią i zalaniem min. IPX 7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08130AA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7348F85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17702D09" w14:textId="77777777" w:rsidTr="00B869AA">
        <w:trPr>
          <w:trHeight w:val="49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6DA7A69A" w14:textId="0D737295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3AF649F" w14:textId="45579A96" w:rsidR="005A1D7A" w:rsidRPr="005A1D7A" w:rsidRDefault="00000000" w:rsidP="005A1D7A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Pełny interfejs użytkownika w j. polskim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AB3F936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356C511A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67572DB9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57C7CE6" w14:textId="20FF6ACA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3D05A19" w14:textId="68744166" w:rsidR="00BD0252" w:rsidRDefault="00B869AA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 w:rsidRPr="00C25BAC">
              <w:rPr>
                <w:rFonts w:cs="Tahoma"/>
                <w:b/>
                <w:bCs/>
                <w:color w:val="000000"/>
              </w:rPr>
              <w:t xml:space="preserve">Gwarancja </w:t>
            </w:r>
            <w:r w:rsidRPr="00C07AB7">
              <w:rPr>
                <w:rFonts w:cs="Tahoma"/>
                <w:b/>
                <w:bCs/>
                <w:color w:val="00B050"/>
              </w:rPr>
              <w:t>min. 48 m-</w:t>
            </w:r>
            <w:proofErr w:type="spellStart"/>
            <w:r w:rsidRPr="00C07AB7">
              <w:rPr>
                <w:rFonts w:cs="Tahoma"/>
                <w:b/>
                <w:bCs/>
                <w:color w:val="00B050"/>
              </w:rPr>
              <w:t>cy</w:t>
            </w:r>
            <w:proofErr w:type="spellEnd"/>
            <w:r w:rsidRPr="00C07AB7">
              <w:rPr>
                <w:rFonts w:cs="Tahoma"/>
                <w:b/>
                <w:bCs/>
                <w:color w:val="00B050"/>
              </w:rPr>
              <w:t xml:space="preserve"> </w:t>
            </w:r>
            <w:r w:rsidRPr="00C25BAC">
              <w:rPr>
                <w:rFonts w:cs="Tahoma"/>
                <w:b/>
                <w:bCs/>
                <w:color w:val="000000"/>
              </w:rPr>
              <w:t>od daty wydania przez Zamawiaj</w:t>
            </w:r>
            <w:r w:rsidRPr="00C25BAC">
              <w:rPr>
                <w:rFonts w:cs="Tahoma" w:hint="cs"/>
                <w:b/>
                <w:bCs/>
                <w:color w:val="000000"/>
              </w:rPr>
              <w:t>ą</w:t>
            </w:r>
            <w:r w:rsidRPr="00C25BAC">
              <w:rPr>
                <w:rFonts w:cs="Tahoma"/>
                <w:b/>
                <w:bCs/>
                <w:color w:val="000000"/>
              </w:rPr>
              <w:t>cego pompy insulinowej hospitalizowanemu pacjentowi.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B1D430D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2CA23EFD" w14:textId="77777777" w:rsidR="00BD0252" w:rsidRDefault="00000000">
            <w:pPr>
              <w:pStyle w:val="Standarduser"/>
              <w:shd w:val="clear" w:color="auto" w:fill="FFFFFF"/>
              <w:jc w:val="center"/>
            </w:pPr>
            <w:r w:rsidRPr="0060704F">
              <w:rPr>
                <w:b/>
                <w:color w:val="00B050"/>
                <w:sz w:val="22"/>
                <w:szCs w:val="22"/>
              </w:rPr>
              <w:t>Dodatkowy okres gwarancji</w:t>
            </w:r>
            <w:r w:rsidRPr="0060704F">
              <w:rPr>
                <w:color w:val="00B050"/>
                <w:sz w:val="22"/>
                <w:szCs w:val="22"/>
              </w:rPr>
              <w:t xml:space="preserve"> </w:t>
            </w:r>
            <w:r w:rsidRPr="0060704F">
              <w:rPr>
                <w:b/>
                <w:bCs/>
                <w:color w:val="00B050"/>
                <w:sz w:val="22"/>
                <w:szCs w:val="22"/>
              </w:rPr>
              <w:t>ponad minimalny</w:t>
            </w:r>
            <w:r>
              <w:rPr>
                <w:sz w:val="22"/>
                <w:szCs w:val="22"/>
              </w:rPr>
              <w:t xml:space="preserve"> należy podać w formularzu ofertowym</w:t>
            </w:r>
          </w:p>
        </w:tc>
      </w:tr>
      <w:tr w:rsidR="00BD0252" w14:paraId="3E6E7CBF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16820CCB" w14:textId="01B084C1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16318185" w14:textId="77777777" w:rsidR="00BD0252" w:rsidRDefault="00000000">
            <w:pPr>
              <w:pStyle w:val="Standarduser"/>
              <w:shd w:val="clear" w:color="auto" w:fill="FFFFFF"/>
              <w:spacing w:line="226" w:lineRule="exact"/>
              <w:ind w:right="413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Programowanie minimalnej  wielkości dawki bazy  0,025j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4428085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6492073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  <w:spacing w:val="-6"/>
              </w:rPr>
            </w:pPr>
          </w:p>
        </w:tc>
      </w:tr>
      <w:tr w:rsidR="00BD0252" w14:paraId="5F6DC24A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2FB4823B" w14:textId="77777777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9.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3AF4D8EA" w14:textId="77777777" w:rsidR="00BD0252" w:rsidRDefault="00000000">
            <w:pPr>
              <w:pStyle w:val="Standarduser"/>
              <w:shd w:val="clear" w:color="auto" w:fill="FFFFFF"/>
              <w:ind w:right="414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Różne rodzaje programowalnych baz, minimum 3 rodzaje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E326DC9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FAA9D9F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  <w:spacing w:val="-6"/>
              </w:rPr>
            </w:pPr>
          </w:p>
        </w:tc>
      </w:tr>
      <w:tr w:rsidR="00BD0252" w14:paraId="1D03DEFB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10C36F72" w14:textId="2190092B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0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349724BB" w14:textId="77777777" w:rsidR="00BD0252" w:rsidRDefault="00000000">
            <w:pPr>
              <w:pStyle w:val="Standarduser"/>
              <w:shd w:val="clear" w:color="auto" w:fill="FFFFFF"/>
              <w:spacing w:line="230" w:lineRule="exact"/>
              <w:ind w:right="96" w:firstLine="5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Programowanie wielkości bolusa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2568FC3E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7A195FD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  <w:spacing w:val="-6"/>
              </w:rPr>
            </w:pPr>
          </w:p>
        </w:tc>
      </w:tr>
      <w:tr w:rsidR="00BD0252" w14:paraId="09B19B1D" w14:textId="77777777" w:rsidTr="00B869AA">
        <w:trPr>
          <w:trHeight w:val="720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388E1561" w14:textId="3280D8C3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lastRenderedPageBreak/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3DD70E0B" w14:textId="77777777" w:rsidR="00BD0252" w:rsidRDefault="00000000">
            <w:pPr>
              <w:pStyle w:val="Standarduser"/>
              <w:shd w:val="clear" w:color="auto" w:fill="FFFFFF"/>
              <w:ind w:right="96" w:firstLine="6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Różne rodzaje bolusa, minimum 3 rodzaje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E4293BC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B2A8809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  <w:spacing w:val="-6"/>
              </w:rPr>
            </w:pPr>
          </w:p>
        </w:tc>
      </w:tr>
      <w:tr w:rsidR="00BD0252" w14:paraId="3BFF87D1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D9852D7" w14:textId="78AABEC2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1.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7AF01DB" w14:textId="77777777" w:rsidR="00BD0252" w:rsidRDefault="00000000">
            <w:pPr>
              <w:pStyle w:val="Standarduser"/>
              <w:shd w:val="clear" w:color="auto" w:fill="FFFFFF"/>
              <w:spacing w:line="226" w:lineRule="exact"/>
              <w:ind w:right="370" w:firstLine="5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Minimalna dokładność dawkowania bolusa  dla   każdego rodzaj  i  niezależnie od wielkości bolusa  0,025 jednostki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6FE72338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113F146E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54672A51" w14:textId="77777777" w:rsidTr="00B869AA">
        <w:trPr>
          <w:trHeight w:val="587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50A3E2F" w14:textId="2344CED9" w:rsidR="00BD0252" w:rsidRDefault="00000000" w:rsidP="00D2325F">
            <w:pPr>
              <w:pStyle w:val="Standarduser"/>
              <w:numPr>
                <w:ilvl w:val="0"/>
                <w:numId w:val="1"/>
              </w:numPr>
              <w:spacing w:line="360" w:lineRule="auto"/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5006213" w14:textId="77777777" w:rsidR="00BD0252" w:rsidRDefault="00000000">
            <w:pPr>
              <w:pStyle w:val="Standarduser"/>
              <w:shd w:val="clear" w:color="auto" w:fill="FFFFFF"/>
              <w:spacing w:line="230" w:lineRule="exact"/>
              <w:ind w:right="72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Alarm dźwiękowy (tonowy)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ABF33F0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14387181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7C71C859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14CF5812" w14:textId="63377FFC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1725A91" w14:textId="77777777" w:rsidR="00BD0252" w:rsidRDefault="00000000">
            <w:pPr>
              <w:pStyle w:val="Standarduser"/>
              <w:shd w:val="clear" w:color="auto" w:fill="FFFFFF"/>
              <w:spacing w:line="235" w:lineRule="exact"/>
              <w:ind w:right="590" w:hanging="5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Alarm wibracyjny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B095713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05E4B0B" w14:textId="77777777" w:rsidR="00BD0252" w:rsidRDefault="00BD0252" w:rsidP="00955F7B">
            <w:pPr>
              <w:pStyle w:val="Standarduser"/>
              <w:shd w:val="clear" w:color="auto" w:fill="FFFFFF"/>
              <w:rPr>
                <w:rFonts w:cs="Tahoma"/>
                <w:color w:val="000000"/>
                <w:spacing w:val="-5"/>
              </w:rPr>
            </w:pPr>
          </w:p>
        </w:tc>
      </w:tr>
      <w:tr w:rsidR="00BD0252" w14:paraId="144A4A72" w14:textId="77777777" w:rsidTr="00B869AA">
        <w:trPr>
          <w:trHeight w:val="50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341FF8FE" w14:textId="24FABFDF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99FE916" w14:textId="77777777" w:rsidR="00BD0252" w:rsidRDefault="00000000">
            <w:pPr>
              <w:pStyle w:val="Standarduser"/>
              <w:shd w:val="clear" w:color="auto" w:fill="FFFFFF"/>
              <w:spacing w:line="235" w:lineRule="exact"/>
              <w:ind w:right="590" w:hanging="5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Rodzaje alarmów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16BDCF68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ACA772A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  <w:spacing w:val="-5"/>
              </w:rPr>
            </w:pPr>
          </w:p>
        </w:tc>
      </w:tr>
      <w:tr w:rsidR="00BD0252" w14:paraId="350D8C7A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116B622" w14:textId="429F9D5C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1.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F55EB19" w14:textId="77777777" w:rsidR="00BD0252" w:rsidRDefault="00000000">
            <w:pPr>
              <w:pStyle w:val="Standarduser"/>
              <w:shd w:val="clear" w:color="auto" w:fill="FFFFFF"/>
              <w:spacing w:line="226" w:lineRule="exact"/>
              <w:ind w:right="470" w:hanging="5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Informacja dźwiękowa </w:t>
            </w:r>
            <w:r>
              <w:rPr>
                <w:rFonts w:cs="Arial"/>
                <w:color w:val="000000"/>
              </w:rPr>
              <w:br/>
              <w:t>i wyświetlana na ekranie pompy o zużyciu baterii większym niż 70 %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E29197D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9C3BBF0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4D0A0FDA" w14:textId="77777777" w:rsidTr="00B869AA">
        <w:trPr>
          <w:trHeight w:val="563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63D2F730" w14:textId="333F6059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2F61E898" w14:textId="77777777" w:rsidR="00BD0252" w:rsidRDefault="00000000">
            <w:pPr>
              <w:pStyle w:val="Standarduser"/>
              <w:shd w:val="clear" w:color="auto" w:fill="FFFFFF"/>
              <w:spacing w:line="226" w:lineRule="exact"/>
              <w:ind w:right="17" w:hanging="6"/>
              <w:rPr>
                <w:rFonts w:cs="Tahoma"/>
                <w:color w:val="000000"/>
                <w:spacing w:val="-2"/>
              </w:rPr>
            </w:pPr>
            <w:r>
              <w:rPr>
                <w:rFonts w:cs="Tahoma"/>
                <w:color w:val="000000"/>
                <w:spacing w:val="-2"/>
              </w:rPr>
              <w:t>Możliwość wyłączenia alarmu dźwiękowego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A24E83B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4EE178B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57B67E7B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160F0EAA" w14:textId="59848DBA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AB25BE2" w14:textId="77777777" w:rsidR="00BD0252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Automatyczne wypełnienie drenu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77BDBED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35B0B903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542100A5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F1F1F16" w14:textId="5CB1B601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37F83FC5" w14:textId="77777777" w:rsidR="00BD0252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Nieograniczona ilość wypełnień drenów w ciągu doby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9B34BEC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E747106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4FEC610B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11229163" w14:textId="247C627E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6303577" w14:textId="77777777" w:rsidR="00BD0252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Blokada przed przypadkową zmianą parametrów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32800068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39C5817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4AF26E46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3A53B20C" w14:textId="77777777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21.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</w:tcPr>
          <w:p w14:paraId="37E2420A" w14:textId="77777777" w:rsidR="00BD0252" w:rsidRDefault="00000000">
            <w:pPr>
              <w:pStyle w:val="Standardus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Automatyczna podaż insuliny na podstawie odczytów z sensora. Możliwość automatycznego  wstrzymania wlewu podstawowego  na podstawie  wartości wskazanych przez system ciągłego monitorowania glikemii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E0C3EA3" w14:textId="77777777" w:rsidR="00BD0252" w:rsidRDefault="00000000">
            <w:pPr>
              <w:pStyle w:val="Standarduser"/>
              <w:spacing w:line="360" w:lineRule="auto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36CBFE95" w14:textId="77777777" w:rsidR="00BD0252" w:rsidRDefault="00BD0252">
            <w:pPr>
              <w:pStyle w:val="Standarduser"/>
              <w:spacing w:line="360" w:lineRule="auto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192F94C9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17D4C98" w14:textId="49650A5E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2.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EF042E7" w14:textId="77777777" w:rsidR="00BD0252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Bezpłatne zapewnienie oprogramowania i interfejsu do sczytywania danych z pompy (m.in. historia bolusów, alarmów, dawki podstawowej, dawki dobowej) do komputera na użytek ośrodka diabetologicznego prowadzącego terapię </w:t>
            </w:r>
            <w:r>
              <w:rPr>
                <w:rFonts w:cs="Tahoma"/>
                <w:color w:val="000000"/>
              </w:rPr>
              <w:br/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2437008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202DD420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06911A00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16BAF98" w14:textId="0C1B46B0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2B3C4C7C" w14:textId="77777777" w:rsidR="00BD0252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Pamięć minimum 1000 zdarzeń (bolusy, alarmy)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34F0AF6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A645802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5B5AABD2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79F1A3E" w14:textId="7BDDEEB3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DBE5E63" w14:textId="77777777" w:rsidR="00BD0252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Przegląd raportów, z minimum ostatnich 90 dni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B380011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E6748A4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4C5EB0D4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07E7506" w14:textId="10F6AEFB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5.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E5C49EF" w14:textId="77777777" w:rsidR="00BD0252" w:rsidRDefault="00000000">
            <w:pPr>
              <w:pStyle w:val="Standarduser"/>
              <w:shd w:val="clear" w:color="auto" w:fill="FFFFFF"/>
            </w:pPr>
            <w:r>
              <w:rPr>
                <w:rFonts w:cs="Tahoma"/>
                <w:color w:val="000000"/>
              </w:rPr>
              <w:t xml:space="preserve">Kalkulator bolusa  wewnętrzny </w:t>
            </w:r>
            <w:r>
              <w:rPr>
                <w:rFonts w:cs="Arial"/>
                <w:color w:val="000000"/>
              </w:rPr>
              <w:t>z możliwością ustawienia w kilku przedziałach czasowych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58D3F19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6BA83CA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15D7B283" w14:textId="77777777" w:rsidTr="00B869AA">
        <w:trPr>
          <w:trHeight w:val="414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67B283B0" w14:textId="026C964F" w:rsidR="00BD0252" w:rsidRDefault="00000000" w:rsidP="009D6A1C">
            <w:pPr>
              <w:pStyle w:val="Standarduser"/>
              <w:numPr>
                <w:ilvl w:val="0"/>
                <w:numId w:val="1"/>
              </w:numPr>
              <w:spacing w:line="360" w:lineRule="auto"/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672EC80" w14:textId="77777777" w:rsidR="00BD0252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Automatyczne rozpoznawanie przez pompę ilości insuliny znajdującej się w zbiorniczku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1E7C41D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TAK/NIE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35B6FAA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0E1FA963" w14:textId="77777777" w:rsidTr="00B869AA">
        <w:trPr>
          <w:trHeight w:val="50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EE818D8" w14:textId="444B9596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7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90DD45B" w14:textId="77777777" w:rsidR="00BD0252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Czasowa zmiana bazy minimum do 12 h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2298A89D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58944C2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474F4F74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6FB1E572" w14:textId="2428C33E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2.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16BC463F" w14:textId="77777777" w:rsidR="00BD0252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Minimalny okres czasowej zmiany bazy ≤30 min.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FDF8DDE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E525337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614B1A63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8A7F340" w14:textId="4AD6E27C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2.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6E2BBD7B" w14:textId="0ACB38E3" w:rsidR="00BD0252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Zestawy infuzyjne (dostarczane przy dostawie) min </w:t>
            </w:r>
            <w:r w:rsidR="00C54C78">
              <w:rPr>
                <w:rFonts w:cs="Tahoma"/>
                <w:color w:val="000000"/>
              </w:rPr>
              <w:t>2</w:t>
            </w:r>
            <w:r>
              <w:rPr>
                <w:rFonts w:cs="Tahoma"/>
                <w:color w:val="000000"/>
              </w:rPr>
              <w:t xml:space="preserve"> szt.,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1F1112B8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6D07DA35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4167C361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194040FA" w14:textId="30BB9B65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lastRenderedPageBreak/>
              <w:t>3.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10977B5" w14:textId="62708341" w:rsidR="00BD0252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Zbiorniki na insulinę (dostarczane przy dostawie) min </w:t>
            </w:r>
            <w:r w:rsidR="009B0E78">
              <w:rPr>
                <w:rFonts w:cs="Tahoma"/>
                <w:color w:val="000000"/>
              </w:rPr>
              <w:t>2</w:t>
            </w:r>
            <w:r>
              <w:rPr>
                <w:rFonts w:cs="Tahoma"/>
                <w:color w:val="000000"/>
              </w:rPr>
              <w:t xml:space="preserve"> szt.,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3424021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FA328F9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08076C09" w14:textId="77777777" w:rsidTr="00B869AA">
        <w:trPr>
          <w:trHeight w:val="50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4BF41CC" w14:textId="28453E32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3.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84BF59D" w14:textId="77777777" w:rsidR="00BD0252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Baterie zapasowe (dostarczane przy dostawie) min. 2 szt.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151A8551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357942E0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3944D58F" w14:textId="77777777" w:rsidTr="00B869AA">
        <w:trPr>
          <w:trHeight w:val="61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1FC854E3" w14:textId="7282A21D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636D441B" w14:textId="1892312B" w:rsidR="00AE5037" w:rsidRPr="00D2325F" w:rsidRDefault="00000000" w:rsidP="00D2325F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Etui ochronne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1DAB020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6DA3A02D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1D150423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20C1A87E" w14:textId="77777777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33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0699F92" w14:textId="77777777" w:rsidR="00BD0252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Brak dodatkowych akcesoriów koniecznych do zamontowania zestawu infuzyjnego w pompie i przygotowania pompy do podłączenia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2F1B8DEA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TAK/NIE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F2016BC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6BA47D68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A4C8463" w14:textId="3091B1D2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3.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47FA35A" w14:textId="62F23D7B" w:rsidR="00BD0252" w:rsidRDefault="00000000">
            <w:pPr>
              <w:pStyle w:val="Standarduser"/>
              <w:shd w:val="clear" w:color="auto" w:fill="FFFFFF"/>
              <w:ind w:right="86" w:firstLine="19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Dostępność zestawów infuzyjnych w punktach sprzedaży na terenie całego kraju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FAAA848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3106C446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3A438665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206BDFAA" w14:textId="77777777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35.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6570515A" w14:textId="77777777" w:rsidR="00BD0252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  <w:spacing w:val="-2"/>
              </w:rPr>
            </w:pPr>
            <w:r>
              <w:rPr>
                <w:rFonts w:cs="Tahoma"/>
                <w:color w:val="000000"/>
                <w:spacing w:val="-2"/>
              </w:rPr>
              <w:t>Dostęp do telefonicznej pomocy technicznej przez 24 h na dobę (w okresie gwarancyjnym i pogwarancyjnym) (konieczność całodobowej infolinii)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20EDC64F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CDD8BA8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869AA" w14:paraId="7B8C7CCC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B87ACC7" w14:textId="77777777" w:rsidR="00B869AA" w:rsidRDefault="00B869AA" w:rsidP="00B869AA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36.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2EFC3133" w14:textId="6FDEC6A0" w:rsidR="00B869AA" w:rsidRDefault="00B869AA" w:rsidP="00B869AA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 w:rsidRPr="00C07AB7">
              <w:rPr>
                <w:rFonts w:cs="Tahoma"/>
                <w:b/>
                <w:bCs/>
                <w:color w:val="000000"/>
              </w:rPr>
              <w:t>Wykonawca zapewni szkolenie techniczne z obsługi pompy (każdego nowego pacjenta) w terminie 7 dni od daty</w:t>
            </w:r>
            <w:r>
              <w:rPr>
                <w:rFonts w:cs="Tahoma"/>
                <w:b/>
                <w:bCs/>
                <w:color w:val="000000"/>
              </w:rPr>
              <w:t xml:space="preserve"> </w:t>
            </w:r>
            <w:r w:rsidRPr="00C07AB7">
              <w:rPr>
                <w:rFonts w:cs="Tahoma"/>
                <w:b/>
                <w:bCs/>
                <w:color w:val="000000"/>
              </w:rPr>
              <w:t xml:space="preserve">przekazania pompy pacjentowi w ośrodku zakładającym pompę. O zakończeniu wymaganego szkolenia decyduje członek zespołu diabetologicznego w ośrodku podłączającym pompy – podpisuje kartę szkolenia.  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1BF84261" w14:textId="77777777" w:rsidR="00B869AA" w:rsidRDefault="00B869AA" w:rsidP="00B869AA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1E173657" w14:textId="77777777" w:rsidR="00B869AA" w:rsidRDefault="00B869AA" w:rsidP="00B869AA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869AA" w14:paraId="52374F58" w14:textId="77777777" w:rsidTr="00B869AA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79C8C1A" w14:textId="5140733C" w:rsidR="00B869AA" w:rsidRDefault="00B869AA" w:rsidP="00B869AA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3.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2BB7B429" w14:textId="77777777" w:rsidR="00B869AA" w:rsidRDefault="00B869AA" w:rsidP="00B869AA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Strona  internetowa przedstawiającą formę kontaktu z firmą oraz dane dotyczące pompy i dostępnego osprzętu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1876641" w14:textId="77777777" w:rsidR="00B869AA" w:rsidRDefault="00B869AA" w:rsidP="00B869AA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26AB1E5" w14:textId="77777777" w:rsidR="00B869AA" w:rsidRDefault="00B869AA" w:rsidP="00B869AA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869AA" w14:paraId="62CAF370" w14:textId="77777777" w:rsidTr="00B869AA">
        <w:trPr>
          <w:trHeight w:val="823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2EEBC2CE" w14:textId="6296D7FC" w:rsidR="00B869AA" w:rsidRDefault="00B869AA" w:rsidP="00B869AA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1A352DF4" w14:textId="6CF2598F" w:rsidR="00B869AA" w:rsidRDefault="00B869AA" w:rsidP="00B869AA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Instrukcja obsługi pompy w języku polskim.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530B04D" w14:textId="77777777" w:rsidR="00B869AA" w:rsidRDefault="00B869AA" w:rsidP="00B869AA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TAK, załączyć do dostawy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37E83877" w14:textId="77777777" w:rsidR="00B869AA" w:rsidRDefault="00B869AA" w:rsidP="00B869AA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</w:tbl>
    <w:p w14:paraId="1EE9F119" w14:textId="77777777" w:rsidR="00BD0252" w:rsidRDefault="00BD0252">
      <w:pPr>
        <w:pStyle w:val="Standarduser"/>
        <w:tabs>
          <w:tab w:val="left" w:pos="77"/>
        </w:tabs>
        <w:jc w:val="both"/>
      </w:pPr>
    </w:p>
    <w:p w14:paraId="0FD304A8" w14:textId="77777777" w:rsidR="00BD0252" w:rsidRDefault="00000000" w:rsidP="006F1A0C">
      <w:pPr>
        <w:jc w:val="both"/>
        <w:rPr>
          <w:rFonts w:hint="eastAsia"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Wymogi dodatkowe  </w:t>
      </w:r>
    </w:p>
    <w:p w14:paraId="2D6659D4" w14:textId="628BF302" w:rsidR="00BD0252" w:rsidRPr="00227C67" w:rsidRDefault="00000000" w:rsidP="006F1A0C">
      <w:pPr>
        <w:pStyle w:val="Akapitzlist"/>
        <w:numPr>
          <w:ilvl w:val="3"/>
          <w:numId w:val="1"/>
        </w:numPr>
        <w:ind w:left="284" w:firstLine="0"/>
        <w:jc w:val="both"/>
        <w:rPr>
          <w:rFonts w:hint="eastAsia"/>
          <w:color w:val="000000"/>
          <w:sz w:val="22"/>
          <w:szCs w:val="22"/>
        </w:rPr>
      </w:pPr>
      <w:r w:rsidRPr="00227C67">
        <w:rPr>
          <w:color w:val="000000"/>
          <w:sz w:val="22"/>
          <w:szCs w:val="22"/>
        </w:rPr>
        <w:t>Wymogi dotyczące programu komputerowego do sczytywania pamięci pompy:</w:t>
      </w:r>
    </w:p>
    <w:p w14:paraId="4A90E7B7" w14:textId="77A7277F" w:rsidR="00BD0252" w:rsidRPr="00F43B2A" w:rsidRDefault="00E57641" w:rsidP="006F1A0C">
      <w:pPr>
        <w:pStyle w:val="Akapitzlist"/>
        <w:numPr>
          <w:ilvl w:val="0"/>
          <w:numId w:val="5"/>
        </w:numPr>
        <w:spacing w:line="100" w:lineRule="atLeast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  <w:r w:rsidRPr="00F43B2A">
        <w:rPr>
          <w:color w:val="000000"/>
          <w:sz w:val="22"/>
          <w:szCs w:val="22"/>
        </w:rPr>
        <w:t>ktualne bazy (wszystkie możliwe z jednego sczytania pompy, na wykresach lub  w tabelach dokładna dawka – z dokładnością podawania bazy przez pompę)</w:t>
      </w:r>
    </w:p>
    <w:p w14:paraId="34163F2F" w14:textId="28999214" w:rsidR="00BD0252" w:rsidRDefault="00E57641" w:rsidP="006F1A0C">
      <w:pPr>
        <w:numPr>
          <w:ilvl w:val="0"/>
          <w:numId w:val="5"/>
        </w:numPr>
        <w:spacing w:line="100" w:lineRule="atLeast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stosowane przeliczniki w kalkulatorach bolusów, </w:t>
      </w:r>
    </w:p>
    <w:p w14:paraId="5482B089" w14:textId="75A91F8B" w:rsidR="00BD0252" w:rsidRDefault="00E57641" w:rsidP="006F1A0C">
      <w:pPr>
        <w:numPr>
          <w:ilvl w:val="0"/>
          <w:numId w:val="5"/>
        </w:numPr>
        <w:spacing w:line="100" w:lineRule="atLeast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historia bolusów (dokładnie podany rodzaj bolusa, dawka, czas podania bolusa przedłużonego)</w:t>
      </w:r>
    </w:p>
    <w:p w14:paraId="34BB5608" w14:textId="59346F9B" w:rsidR="00BD0252" w:rsidRDefault="00E57641" w:rsidP="006F1A0C">
      <w:pPr>
        <w:pStyle w:val="Akapitzlist"/>
        <w:numPr>
          <w:ilvl w:val="0"/>
          <w:numId w:val="5"/>
        </w:numPr>
        <w:spacing w:line="100" w:lineRule="atLeast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</w:t>
      </w:r>
      <w:r w:rsidRPr="00F43B2A">
        <w:rPr>
          <w:color w:val="000000"/>
          <w:sz w:val="22"/>
          <w:szCs w:val="22"/>
        </w:rPr>
        <w:t xml:space="preserve">istoria wypełnień drenu </w:t>
      </w:r>
    </w:p>
    <w:p w14:paraId="6562A09B" w14:textId="77777777" w:rsidR="00DD479F" w:rsidRDefault="00DD479F" w:rsidP="006F1A0C">
      <w:pPr>
        <w:numPr>
          <w:ilvl w:val="0"/>
          <w:numId w:val="5"/>
        </w:numPr>
        <w:spacing w:line="100" w:lineRule="atLeast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historia alarmów</w:t>
      </w:r>
    </w:p>
    <w:p w14:paraId="1885F05B" w14:textId="34445665" w:rsidR="00DD479F" w:rsidRPr="00DD479F" w:rsidRDefault="00DD479F" w:rsidP="006F1A0C">
      <w:pPr>
        <w:numPr>
          <w:ilvl w:val="0"/>
          <w:numId w:val="5"/>
        </w:numPr>
        <w:spacing w:line="100" w:lineRule="atLeast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udostępnienie programu pacjentom</w:t>
      </w:r>
    </w:p>
    <w:p w14:paraId="4EB4656C" w14:textId="5EFE5FCC" w:rsidR="00E57641" w:rsidRDefault="00E57641" w:rsidP="006F1A0C">
      <w:pPr>
        <w:numPr>
          <w:ilvl w:val="0"/>
          <w:numId w:val="5"/>
        </w:numPr>
        <w:spacing w:line="100" w:lineRule="atLeast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wykresy dzienne, na których muszą być przedstawion</w:t>
      </w:r>
      <w:r w:rsidR="000C7894">
        <w:rPr>
          <w:color w:val="000000"/>
          <w:sz w:val="22"/>
          <w:szCs w:val="22"/>
        </w:rPr>
        <w:t>e:</w:t>
      </w:r>
    </w:p>
    <w:p w14:paraId="6ABD59EA" w14:textId="77777777" w:rsidR="000C7894" w:rsidRDefault="00E57641" w:rsidP="006F1A0C">
      <w:pPr>
        <w:pStyle w:val="Akapitzlist"/>
        <w:numPr>
          <w:ilvl w:val="0"/>
          <w:numId w:val="6"/>
        </w:numPr>
        <w:spacing w:line="100" w:lineRule="atLeast"/>
        <w:jc w:val="both"/>
        <w:rPr>
          <w:rFonts w:hint="eastAsia"/>
          <w:color w:val="000000"/>
          <w:sz w:val="22"/>
          <w:szCs w:val="22"/>
        </w:rPr>
      </w:pPr>
      <w:r w:rsidRPr="000C7894">
        <w:rPr>
          <w:color w:val="000000"/>
          <w:sz w:val="22"/>
          <w:szCs w:val="22"/>
        </w:rPr>
        <w:t>stosowana w tym dniu baza podstawowa,</w:t>
      </w:r>
    </w:p>
    <w:p w14:paraId="69745679" w14:textId="77777777" w:rsidR="000C7894" w:rsidRDefault="00000000" w:rsidP="000C7894">
      <w:pPr>
        <w:pStyle w:val="Akapitzlist"/>
        <w:numPr>
          <w:ilvl w:val="0"/>
          <w:numId w:val="6"/>
        </w:numPr>
        <w:spacing w:line="100" w:lineRule="atLeast"/>
        <w:rPr>
          <w:rFonts w:hint="eastAsia"/>
          <w:color w:val="000000"/>
          <w:sz w:val="22"/>
          <w:szCs w:val="22"/>
        </w:rPr>
      </w:pPr>
      <w:r w:rsidRPr="000C7894">
        <w:rPr>
          <w:color w:val="000000"/>
          <w:sz w:val="22"/>
          <w:szCs w:val="22"/>
        </w:rPr>
        <w:t>czasowa zmiana bazy -wskazane oznaczenie innym kolorem,</w:t>
      </w:r>
    </w:p>
    <w:p w14:paraId="62F67263" w14:textId="77777777" w:rsidR="000C7894" w:rsidRDefault="00000000" w:rsidP="000C7894">
      <w:pPr>
        <w:pStyle w:val="Akapitzlist"/>
        <w:numPr>
          <w:ilvl w:val="0"/>
          <w:numId w:val="6"/>
        </w:numPr>
        <w:spacing w:line="100" w:lineRule="atLeast"/>
        <w:rPr>
          <w:rFonts w:hint="eastAsia"/>
          <w:color w:val="000000"/>
          <w:sz w:val="22"/>
          <w:szCs w:val="22"/>
        </w:rPr>
      </w:pPr>
      <w:r w:rsidRPr="000C7894">
        <w:rPr>
          <w:color w:val="000000"/>
          <w:sz w:val="22"/>
          <w:szCs w:val="22"/>
        </w:rPr>
        <w:t xml:space="preserve">zaznaczenie momentu zatrzymania i włączenia pompy </w:t>
      </w:r>
    </w:p>
    <w:p w14:paraId="5E93312C" w14:textId="77777777" w:rsidR="000C7894" w:rsidRDefault="00000000" w:rsidP="000C7894">
      <w:pPr>
        <w:pStyle w:val="Akapitzlist"/>
        <w:numPr>
          <w:ilvl w:val="0"/>
          <w:numId w:val="6"/>
        </w:numPr>
        <w:spacing w:line="100" w:lineRule="atLeast"/>
        <w:rPr>
          <w:rFonts w:hint="eastAsia"/>
          <w:color w:val="000000"/>
          <w:sz w:val="22"/>
          <w:szCs w:val="22"/>
        </w:rPr>
      </w:pPr>
      <w:r w:rsidRPr="000C7894">
        <w:rPr>
          <w:color w:val="000000"/>
          <w:sz w:val="22"/>
          <w:szCs w:val="22"/>
        </w:rPr>
        <w:t xml:space="preserve">zaznaczenie momentu wypełnień drenu, </w:t>
      </w:r>
    </w:p>
    <w:p w14:paraId="11E037B7" w14:textId="47673CC5" w:rsidR="00BD0252" w:rsidRPr="000C7894" w:rsidRDefault="00000000" w:rsidP="006F1A0C">
      <w:pPr>
        <w:pStyle w:val="Akapitzlist"/>
        <w:numPr>
          <w:ilvl w:val="0"/>
          <w:numId w:val="6"/>
        </w:numPr>
        <w:spacing w:line="100" w:lineRule="atLeast"/>
        <w:jc w:val="both"/>
        <w:rPr>
          <w:rFonts w:hint="eastAsia"/>
          <w:color w:val="000000"/>
          <w:sz w:val="22"/>
          <w:szCs w:val="22"/>
        </w:rPr>
      </w:pPr>
      <w:r w:rsidRPr="000C7894">
        <w:rPr>
          <w:color w:val="000000"/>
          <w:sz w:val="22"/>
          <w:szCs w:val="22"/>
        </w:rPr>
        <w:t xml:space="preserve">wszystkie podane bolusy z rozróżnieniem rodzaju i oznaczeniem czasu podania bolusa przedłużonego– wskazane zaznaczenie bolusów innymi kolorami, </w:t>
      </w:r>
    </w:p>
    <w:p w14:paraId="2498F54A" w14:textId="2723377B" w:rsidR="006F1A0C" w:rsidRDefault="00000000" w:rsidP="006F1A0C">
      <w:pPr>
        <w:pStyle w:val="Akapitzlist"/>
        <w:numPr>
          <w:ilvl w:val="3"/>
          <w:numId w:val="1"/>
        </w:numPr>
        <w:ind w:left="284" w:firstLine="0"/>
        <w:jc w:val="both"/>
        <w:rPr>
          <w:rFonts w:hint="eastAsia"/>
          <w:color w:val="000000"/>
          <w:sz w:val="22"/>
          <w:szCs w:val="22"/>
        </w:rPr>
      </w:pPr>
      <w:r w:rsidRPr="00227C67">
        <w:rPr>
          <w:color w:val="000000"/>
          <w:sz w:val="22"/>
          <w:szCs w:val="22"/>
        </w:rPr>
        <w:lastRenderedPageBreak/>
        <w:t>Wymagane informacje zawarte na stronie internetowej pod adresem ……………….</w:t>
      </w:r>
      <w:r w:rsidR="00C876A6">
        <w:rPr>
          <w:color w:val="000000"/>
          <w:sz w:val="22"/>
          <w:szCs w:val="22"/>
        </w:rPr>
        <w:t xml:space="preserve"> </w:t>
      </w:r>
      <w:r w:rsidRPr="00227C67">
        <w:rPr>
          <w:color w:val="000000"/>
          <w:sz w:val="22"/>
          <w:szCs w:val="22"/>
        </w:rPr>
        <w:t>(podać)</w:t>
      </w:r>
    </w:p>
    <w:p w14:paraId="48F8FAAD" w14:textId="1FE0A58F" w:rsidR="006F1A0C" w:rsidRDefault="00000000" w:rsidP="006F1A0C">
      <w:pPr>
        <w:pStyle w:val="Akapitzlist"/>
        <w:numPr>
          <w:ilvl w:val="3"/>
          <w:numId w:val="1"/>
        </w:numPr>
        <w:ind w:left="709" w:hanging="425"/>
        <w:jc w:val="both"/>
        <w:rPr>
          <w:rFonts w:hint="eastAsia"/>
          <w:color w:val="000000"/>
          <w:sz w:val="22"/>
          <w:szCs w:val="22"/>
        </w:rPr>
      </w:pPr>
      <w:r w:rsidRPr="006F1A0C">
        <w:rPr>
          <w:color w:val="000000"/>
          <w:sz w:val="22"/>
          <w:szCs w:val="22"/>
        </w:rPr>
        <w:t>Numer infolinii, pod którym osoby korzystające z pomp otrzymają całodobową informacje dotyczącą problemów technicznych związanych z korzystaniem z pompy</w:t>
      </w:r>
      <w:r w:rsidR="006F1A0C">
        <w:rPr>
          <w:color w:val="000000"/>
          <w:sz w:val="22"/>
          <w:szCs w:val="22"/>
        </w:rPr>
        <w:t xml:space="preserve"> </w:t>
      </w:r>
      <w:r w:rsidRPr="006F1A0C">
        <w:rPr>
          <w:color w:val="000000"/>
          <w:sz w:val="22"/>
          <w:szCs w:val="22"/>
        </w:rPr>
        <w:t>insulinowej</w:t>
      </w:r>
      <w:r w:rsidR="007C1F19" w:rsidRPr="006F1A0C">
        <w:rPr>
          <w:color w:val="000000"/>
          <w:sz w:val="22"/>
          <w:szCs w:val="22"/>
        </w:rPr>
        <w:t xml:space="preserve"> ……………</w:t>
      </w:r>
      <w:r w:rsidR="00C876A6">
        <w:rPr>
          <w:color w:val="000000"/>
          <w:sz w:val="22"/>
          <w:szCs w:val="22"/>
        </w:rPr>
        <w:t xml:space="preserve"> </w:t>
      </w:r>
      <w:r w:rsidR="00C876A6" w:rsidRPr="00227C67">
        <w:rPr>
          <w:color w:val="000000"/>
          <w:sz w:val="22"/>
          <w:szCs w:val="22"/>
        </w:rPr>
        <w:t>(podać)</w:t>
      </w:r>
    </w:p>
    <w:p w14:paraId="04E40E35" w14:textId="08307C82" w:rsidR="006F1A0C" w:rsidRDefault="00000000" w:rsidP="006F1A0C">
      <w:pPr>
        <w:pStyle w:val="Akapitzlist"/>
        <w:numPr>
          <w:ilvl w:val="3"/>
          <w:numId w:val="1"/>
        </w:numPr>
        <w:ind w:left="284" w:firstLine="0"/>
        <w:jc w:val="both"/>
        <w:rPr>
          <w:rFonts w:hint="eastAsia"/>
          <w:color w:val="000000"/>
          <w:sz w:val="22"/>
          <w:szCs w:val="22"/>
        </w:rPr>
      </w:pPr>
      <w:r w:rsidRPr="006F1A0C">
        <w:rPr>
          <w:color w:val="000000"/>
          <w:sz w:val="22"/>
          <w:szCs w:val="22"/>
        </w:rPr>
        <w:t>Telefony lokalnych przedstawicieli firm z godzinami ich pracy</w:t>
      </w:r>
      <w:r w:rsidR="007C1F19" w:rsidRPr="006F1A0C">
        <w:rPr>
          <w:color w:val="000000"/>
          <w:sz w:val="22"/>
          <w:szCs w:val="22"/>
        </w:rPr>
        <w:t xml:space="preserve"> ………………………..</w:t>
      </w:r>
      <w:r w:rsidR="00C876A6">
        <w:rPr>
          <w:color w:val="000000"/>
          <w:sz w:val="22"/>
          <w:szCs w:val="22"/>
        </w:rPr>
        <w:t xml:space="preserve"> </w:t>
      </w:r>
      <w:r w:rsidR="00C876A6" w:rsidRPr="00227C67">
        <w:rPr>
          <w:color w:val="000000"/>
          <w:sz w:val="22"/>
          <w:szCs w:val="22"/>
        </w:rPr>
        <w:t>(podać)</w:t>
      </w:r>
    </w:p>
    <w:p w14:paraId="0D1A812A" w14:textId="77777777" w:rsidR="006F1A0C" w:rsidRDefault="00000000" w:rsidP="006F1A0C">
      <w:pPr>
        <w:pStyle w:val="Akapitzlist"/>
        <w:numPr>
          <w:ilvl w:val="3"/>
          <w:numId w:val="1"/>
        </w:numPr>
        <w:ind w:left="284" w:firstLine="0"/>
        <w:jc w:val="both"/>
        <w:rPr>
          <w:rFonts w:hint="eastAsia"/>
          <w:color w:val="000000"/>
          <w:sz w:val="22"/>
          <w:szCs w:val="22"/>
        </w:rPr>
      </w:pPr>
      <w:r w:rsidRPr="006F1A0C">
        <w:rPr>
          <w:color w:val="000000"/>
          <w:sz w:val="22"/>
          <w:szCs w:val="22"/>
        </w:rPr>
        <w:t>Zasady obsługi pompy insulinowej</w:t>
      </w:r>
    </w:p>
    <w:p w14:paraId="0559C49D" w14:textId="65C336CF" w:rsidR="00BD0252" w:rsidRPr="006F1A0C" w:rsidRDefault="00000000" w:rsidP="006F1A0C">
      <w:pPr>
        <w:pStyle w:val="Akapitzlist"/>
        <w:numPr>
          <w:ilvl w:val="3"/>
          <w:numId w:val="1"/>
        </w:numPr>
        <w:ind w:left="284" w:firstLine="0"/>
        <w:jc w:val="both"/>
        <w:rPr>
          <w:rFonts w:hint="eastAsia"/>
          <w:color w:val="000000"/>
          <w:sz w:val="22"/>
          <w:szCs w:val="22"/>
        </w:rPr>
      </w:pPr>
      <w:r w:rsidRPr="006F1A0C">
        <w:rPr>
          <w:color w:val="000000"/>
          <w:sz w:val="22"/>
          <w:szCs w:val="22"/>
        </w:rPr>
        <w:t>Dane dotyczące osprzętu do pomp (rodzaje wkłuć, strzykawek, baterii itp.)</w:t>
      </w:r>
    </w:p>
    <w:p w14:paraId="5FD86631" w14:textId="77777777" w:rsidR="00BD0252" w:rsidRDefault="00BD0252">
      <w:pPr>
        <w:rPr>
          <w:rFonts w:hint="eastAsia"/>
          <w:sz w:val="22"/>
          <w:szCs w:val="22"/>
        </w:rPr>
      </w:pPr>
    </w:p>
    <w:p w14:paraId="7B359274" w14:textId="77777777" w:rsidR="00C876A6" w:rsidRDefault="00C876A6">
      <w:pPr>
        <w:rPr>
          <w:rFonts w:hint="eastAsia"/>
          <w:sz w:val="22"/>
          <w:szCs w:val="22"/>
        </w:rPr>
      </w:pPr>
    </w:p>
    <w:p w14:paraId="0BD5579F" w14:textId="77777777" w:rsidR="00BD0252" w:rsidRDefault="00000000">
      <w:pPr>
        <w:rPr>
          <w:rFonts w:eastAsia="Microsoft YaHei" w:hint="eastAsia"/>
          <w:color w:val="002060"/>
          <w:sz w:val="22"/>
          <w:szCs w:val="22"/>
        </w:rPr>
      </w:pPr>
      <w:r>
        <w:rPr>
          <w:rFonts w:eastAsia="Microsoft YaHei"/>
          <w:color w:val="002060"/>
          <w:sz w:val="22"/>
          <w:szCs w:val="22"/>
        </w:rPr>
        <w:t>Serwis gwarancyjny i pogwarancyjny prowadzi………………………..………………....... (uzupełnić)</w:t>
      </w:r>
    </w:p>
    <w:p w14:paraId="128F1EDE" w14:textId="77777777" w:rsidR="00BD0252" w:rsidRDefault="00BD0252">
      <w:pPr>
        <w:rPr>
          <w:rFonts w:eastAsia="Microsoft YaHei" w:hint="eastAsia"/>
          <w:color w:val="002060"/>
          <w:sz w:val="22"/>
          <w:szCs w:val="22"/>
        </w:rPr>
      </w:pPr>
    </w:p>
    <w:p w14:paraId="179FF5A8" w14:textId="77777777" w:rsidR="00BD0252" w:rsidRDefault="00000000">
      <w:pPr>
        <w:autoSpaceDE w:val="0"/>
        <w:ind w:right="58"/>
        <w:jc w:val="both"/>
        <w:rPr>
          <w:rFonts w:eastAsia="Microsoft YaHei" w:hint="eastAsia"/>
          <w:sz w:val="22"/>
          <w:szCs w:val="22"/>
        </w:rPr>
      </w:pPr>
      <w:r>
        <w:rPr>
          <w:rFonts w:eastAsia="Microsoft YaHei"/>
          <w:sz w:val="22"/>
          <w:szCs w:val="22"/>
        </w:rPr>
        <w:t>Parametry wymagane stanowią parametry graniczne / odcinające – nie spełnienie nawet jednego  z w/w parametrów spowoduje odrzucenie oferty. Brak opisu traktowany będzie jako brak danego parametru w oferowanej konfiguracji urządzenia.</w:t>
      </w:r>
    </w:p>
    <w:p w14:paraId="6E9FDAB0" w14:textId="77777777" w:rsidR="00BD0252" w:rsidRDefault="00BD0252">
      <w:pPr>
        <w:autoSpaceDE w:val="0"/>
        <w:ind w:right="58"/>
        <w:jc w:val="both"/>
        <w:rPr>
          <w:rFonts w:eastAsia="Microsoft YaHei" w:hint="eastAsia"/>
          <w:sz w:val="22"/>
          <w:szCs w:val="22"/>
        </w:rPr>
      </w:pPr>
    </w:p>
    <w:p w14:paraId="059575AC" w14:textId="77777777" w:rsidR="00BD0252" w:rsidRDefault="00000000">
      <w:p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Oświadczamy, że oferowane, powyżej wyspecyfikowane, urządzenie jest kompletne i po zainstalowaniu będzie gotowe do pracy zgodnie z przeznaczeniem bez żadnych dodatkowych zakupów inwestycyjnych.</w:t>
      </w:r>
    </w:p>
    <w:p w14:paraId="51CFF1F8" w14:textId="77777777" w:rsidR="00BD0252" w:rsidRDefault="00BD0252">
      <w:pPr>
        <w:jc w:val="both"/>
        <w:rPr>
          <w:rFonts w:hint="eastAsia"/>
        </w:rPr>
      </w:pPr>
    </w:p>
    <w:sectPr w:rsidR="00BD025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147FB" w14:textId="77777777" w:rsidR="006A48B0" w:rsidRDefault="006A48B0">
      <w:pPr>
        <w:rPr>
          <w:rFonts w:hint="eastAsia"/>
        </w:rPr>
      </w:pPr>
      <w:r>
        <w:separator/>
      </w:r>
    </w:p>
  </w:endnote>
  <w:endnote w:type="continuationSeparator" w:id="0">
    <w:p w14:paraId="753700A6" w14:textId="77777777" w:rsidR="006A48B0" w:rsidRDefault="006A48B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66D53" w14:textId="77777777" w:rsidR="006A48B0" w:rsidRDefault="006A48B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07487D7" w14:textId="77777777" w:rsidR="006A48B0" w:rsidRDefault="006A48B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361F7"/>
    <w:multiLevelType w:val="multilevel"/>
    <w:tmpl w:val="542EC5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  <w:sz w:val="20"/>
        <w:szCs w:val="20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i w:val="0"/>
        <w:sz w:val="24"/>
        <w:szCs w:val="24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  <w:sz w:val="20"/>
        <w:szCs w:val="20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i w:val="0"/>
        <w:sz w:val="24"/>
        <w:szCs w:val="24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1" w15:restartNumberingAfterBreak="0">
    <w:nsid w:val="184A0629"/>
    <w:multiLevelType w:val="hybridMultilevel"/>
    <w:tmpl w:val="044290F6"/>
    <w:lvl w:ilvl="0" w:tplc="B54A79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673E59"/>
    <w:multiLevelType w:val="multilevel"/>
    <w:tmpl w:val="542EC5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  <w:sz w:val="20"/>
        <w:szCs w:val="20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i w:val="0"/>
        <w:sz w:val="24"/>
        <w:szCs w:val="24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  <w:sz w:val="20"/>
        <w:szCs w:val="20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i w:val="0"/>
        <w:sz w:val="24"/>
        <w:szCs w:val="24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3" w15:restartNumberingAfterBreak="0">
    <w:nsid w:val="3D0E12C4"/>
    <w:multiLevelType w:val="multilevel"/>
    <w:tmpl w:val="5F385E76"/>
    <w:lvl w:ilvl="0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39"/>
    <w:multiLevelType w:val="multilevel"/>
    <w:tmpl w:val="356E30E8"/>
    <w:lvl w:ilvl="0">
      <w:numFmt w:val="bullet"/>
      <w:lvlText w:val=""/>
      <w:lvlJc w:val="left"/>
      <w:pPr>
        <w:ind w:left="720" w:hanging="360"/>
      </w:pPr>
      <w:rPr>
        <w:rFonts w:ascii="Symbol" w:hAnsi="Symbol"/>
        <w:i w:val="0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  <w:sz w:val="20"/>
        <w:szCs w:val="20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i w:val="0"/>
        <w:sz w:val="24"/>
        <w:szCs w:val="24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  <w:sz w:val="20"/>
        <w:szCs w:val="20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i w:val="0"/>
        <w:sz w:val="24"/>
        <w:szCs w:val="24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5" w15:restartNumberingAfterBreak="0">
    <w:nsid w:val="67087CED"/>
    <w:multiLevelType w:val="hybridMultilevel"/>
    <w:tmpl w:val="D756B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041340">
    <w:abstractNumId w:val="3"/>
  </w:num>
  <w:num w:numId="2" w16cid:durableId="1034845617">
    <w:abstractNumId w:val="4"/>
  </w:num>
  <w:num w:numId="3" w16cid:durableId="1561793991">
    <w:abstractNumId w:val="0"/>
  </w:num>
  <w:num w:numId="4" w16cid:durableId="1620650646">
    <w:abstractNumId w:val="2"/>
  </w:num>
  <w:num w:numId="5" w16cid:durableId="397941593">
    <w:abstractNumId w:val="5"/>
  </w:num>
  <w:num w:numId="6" w16cid:durableId="1651249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252"/>
    <w:rsid w:val="000C7894"/>
    <w:rsid w:val="00227C67"/>
    <w:rsid w:val="00270651"/>
    <w:rsid w:val="003120D2"/>
    <w:rsid w:val="00434D0A"/>
    <w:rsid w:val="005A1D7A"/>
    <w:rsid w:val="005F7FE5"/>
    <w:rsid w:val="0060704F"/>
    <w:rsid w:val="006A48B0"/>
    <w:rsid w:val="006E2887"/>
    <w:rsid w:val="006F1A0C"/>
    <w:rsid w:val="006F2EA0"/>
    <w:rsid w:val="00715489"/>
    <w:rsid w:val="00763FCC"/>
    <w:rsid w:val="007C1F19"/>
    <w:rsid w:val="009314B6"/>
    <w:rsid w:val="00955F7B"/>
    <w:rsid w:val="009B0E78"/>
    <w:rsid w:val="009D6A1C"/>
    <w:rsid w:val="00AE5037"/>
    <w:rsid w:val="00B869AA"/>
    <w:rsid w:val="00BD0252"/>
    <w:rsid w:val="00C54C78"/>
    <w:rsid w:val="00C876A6"/>
    <w:rsid w:val="00CF5CDB"/>
    <w:rsid w:val="00D2325F"/>
    <w:rsid w:val="00D66A97"/>
    <w:rsid w:val="00DD479F"/>
    <w:rsid w:val="00E57641"/>
    <w:rsid w:val="00E76621"/>
    <w:rsid w:val="00F43B2A"/>
    <w:rsid w:val="00FF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691B"/>
  <w15:docId w15:val="{F00CFDE5-D68D-4CC4-9463-2BEBFA82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 w:val="0"/>
      <w:suppressAutoHyphens/>
    </w:pPr>
    <w:rPr>
      <w:rFonts w:ascii="Times New Roman" w:eastAsia="SimSun" w:hAnsi="Times New Roman" w:cs="Mangal"/>
    </w:rPr>
  </w:style>
  <w:style w:type="paragraph" w:customStyle="1" w:styleId="Tekstpodstawowy31">
    <w:name w:val="Tekst podstawowy 31"/>
    <w:basedOn w:val="Standarduser"/>
    <w:pPr>
      <w:spacing w:line="360" w:lineRule="auto"/>
      <w:jc w:val="both"/>
    </w:pPr>
    <w:rPr>
      <w:rFonts w:ascii="Arial" w:eastAsia="Arial" w:hAnsi="Arial" w:cs="Arial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Nagwek">
    <w:name w:val="header"/>
    <w:basedOn w:val="Normalny"/>
    <w:next w:val="Normalny"/>
    <w:pPr>
      <w:keepNext/>
      <w:spacing w:before="240" w:after="120" w:line="100" w:lineRule="atLeast"/>
    </w:pPr>
    <w:rPr>
      <w:rFonts w:ascii="Arial" w:eastAsia="Microsoft YaHei" w:hAnsi="Arial" w:cs="Mangal"/>
      <w:color w:val="00000A"/>
      <w:kern w:val="0"/>
      <w:sz w:val="28"/>
      <w:szCs w:val="28"/>
      <w:lang w:eastAsia="ar-SA" w:bidi="ar-SA"/>
    </w:rPr>
  </w:style>
  <w:style w:type="character" w:customStyle="1" w:styleId="NagwekZnak">
    <w:name w:val="Nagłówek Znak"/>
    <w:basedOn w:val="Domylnaczcionkaakapitu"/>
    <w:rPr>
      <w:rFonts w:ascii="Arial" w:eastAsia="Microsoft YaHei" w:hAnsi="Arial" w:cs="Mangal"/>
      <w:color w:val="00000A"/>
      <w:kern w:val="0"/>
      <w:sz w:val="28"/>
      <w:szCs w:val="28"/>
      <w:lang w:eastAsia="ar-SA" w:bidi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paragraph" w:styleId="Akapitzlist">
    <w:name w:val="List Paragraph"/>
    <w:basedOn w:val="Normalny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Zamówień Publicznych</dc:creator>
  <cp:lastModifiedBy>zampub</cp:lastModifiedBy>
  <cp:revision>2</cp:revision>
  <cp:lastPrinted>2024-02-08T11:20:00Z</cp:lastPrinted>
  <dcterms:created xsi:type="dcterms:W3CDTF">2025-02-05T08:22:00Z</dcterms:created>
  <dcterms:modified xsi:type="dcterms:W3CDTF">2025-02-05T08:22:00Z</dcterms:modified>
</cp:coreProperties>
</file>