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5468" w14:textId="2C9B5B55" w:rsidR="00BA4DEB" w:rsidRPr="00ED475E" w:rsidRDefault="00CB2FF8" w:rsidP="00BA4DEB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 w:rsidRPr="00392A7E">
        <w:rPr>
          <w:b/>
          <w:bCs/>
          <w:sz w:val="22"/>
          <w:szCs w:val="22"/>
        </w:rPr>
        <w:t>/</w:t>
      </w:r>
      <w:r w:rsidR="00392A7E" w:rsidRPr="00392A7E">
        <w:rPr>
          <w:b/>
          <w:bCs/>
          <w:sz w:val="22"/>
          <w:szCs w:val="22"/>
        </w:rPr>
        <w:t>145</w:t>
      </w:r>
      <w:r w:rsidR="00EE4B1D" w:rsidRPr="00392A7E">
        <w:rPr>
          <w:b/>
          <w:bCs/>
          <w:sz w:val="22"/>
          <w:szCs w:val="22"/>
        </w:rPr>
        <w:t>/202</w:t>
      </w:r>
      <w:r w:rsidR="00324CEF" w:rsidRPr="00392A7E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BA4DEB" w:rsidRPr="00BA4DEB">
        <w:rPr>
          <w:b/>
          <w:bCs/>
          <w:sz w:val="22"/>
          <w:szCs w:val="22"/>
          <w:lang w:eastAsia="zh-CN"/>
        </w:rPr>
        <w:t xml:space="preserve"> </w:t>
      </w:r>
      <w:r w:rsidR="00BA4DEB">
        <w:rPr>
          <w:b/>
          <w:bCs/>
          <w:sz w:val="22"/>
          <w:szCs w:val="22"/>
          <w:lang w:eastAsia="zh-CN"/>
        </w:rPr>
        <w:t xml:space="preserve">                                                                   </w:t>
      </w:r>
      <w:r w:rsidR="002616FB">
        <w:rPr>
          <w:b/>
          <w:bCs/>
          <w:sz w:val="22"/>
          <w:szCs w:val="22"/>
          <w:lang w:eastAsia="zh-CN"/>
        </w:rPr>
        <w:t xml:space="preserve">      </w:t>
      </w:r>
      <w:r w:rsidR="00BA4DEB">
        <w:rPr>
          <w:b/>
          <w:bCs/>
          <w:sz w:val="22"/>
          <w:szCs w:val="22"/>
          <w:lang w:eastAsia="zh-CN"/>
        </w:rPr>
        <w:t xml:space="preserve">      </w:t>
      </w:r>
      <w:r w:rsidR="00BA4DEB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BA4DEB">
        <w:rPr>
          <w:b/>
          <w:bCs/>
          <w:sz w:val="22"/>
          <w:szCs w:val="22"/>
          <w:lang w:eastAsia="zh-CN"/>
        </w:rPr>
        <w:t>2.1</w:t>
      </w:r>
      <w:r w:rsidR="00BA4DEB" w:rsidRPr="00ED475E">
        <w:rPr>
          <w:b/>
          <w:bCs/>
          <w:sz w:val="22"/>
          <w:szCs w:val="22"/>
          <w:lang w:eastAsia="zh-CN"/>
        </w:rPr>
        <w:t xml:space="preserve"> do </w:t>
      </w:r>
      <w:r w:rsidR="002616FB">
        <w:rPr>
          <w:b/>
          <w:bCs/>
          <w:sz w:val="22"/>
          <w:szCs w:val="22"/>
          <w:lang w:eastAsia="zh-CN"/>
        </w:rPr>
        <w:t>Zaproszenia</w:t>
      </w:r>
    </w:p>
    <w:p w14:paraId="37EF28B7" w14:textId="7F1EBF17" w:rsidR="00BA4DEB" w:rsidRPr="00EE4B1D" w:rsidRDefault="00BA4DEB" w:rsidP="00BA4DEB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 w:rsidR="00915C1A">
        <w:rPr>
          <w:b/>
          <w:bCs/>
          <w:i/>
          <w:sz w:val="22"/>
          <w:szCs w:val="22"/>
          <w:lang w:eastAsia="zh-CN"/>
        </w:rPr>
        <w:t>1</w:t>
      </w:r>
      <w:r w:rsidRPr="00EE4B1D">
        <w:rPr>
          <w:b/>
          <w:bCs/>
          <w:i/>
          <w:sz w:val="22"/>
          <w:szCs w:val="22"/>
          <w:lang w:eastAsia="zh-CN"/>
        </w:rPr>
        <w:t xml:space="preserve"> do Umowy</w:t>
      </w:r>
    </w:p>
    <w:p w14:paraId="419A9C57" w14:textId="09BD1C03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0AF9D42" w14:textId="6BE51440" w:rsidR="00A7703C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1 </w:t>
      </w:r>
      <w:proofErr w:type="spellStart"/>
      <w:r w:rsidR="00A72C40">
        <w:rPr>
          <w:b/>
          <w:kern w:val="2"/>
          <w:sz w:val="22"/>
          <w:szCs w:val="22"/>
          <w:u w:val="single"/>
        </w:rPr>
        <w:t>Videolaryngoskop</w:t>
      </w:r>
      <w:proofErr w:type="spellEnd"/>
      <w:r>
        <w:rPr>
          <w:b/>
          <w:kern w:val="2"/>
          <w:sz w:val="22"/>
          <w:szCs w:val="22"/>
          <w:u w:val="single"/>
        </w:rPr>
        <w:t xml:space="preserve"> </w:t>
      </w:r>
      <w:r w:rsidR="00646EF6">
        <w:rPr>
          <w:b/>
          <w:kern w:val="2"/>
          <w:sz w:val="22"/>
          <w:szCs w:val="22"/>
          <w:u w:val="single"/>
        </w:rPr>
        <w:t xml:space="preserve">– </w:t>
      </w:r>
      <w:r w:rsidR="00324CEF">
        <w:rPr>
          <w:b/>
          <w:kern w:val="2"/>
          <w:sz w:val="22"/>
          <w:szCs w:val="22"/>
          <w:u w:val="single"/>
        </w:rPr>
        <w:t>2</w:t>
      </w:r>
      <w:r w:rsidR="00646EF6">
        <w:rPr>
          <w:b/>
          <w:kern w:val="2"/>
          <w:sz w:val="22"/>
          <w:szCs w:val="22"/>
          <w:u w:val="single"/>
        </w:rPr>
        <w:t xml:space="preserve"> </w:t>
      </w:r>
      <w:r>
        <w:rPr>
          <w:b/>
          <w:kern w:val="2"/>
          <w:sz w:val="22"/>
          <w:szCs w:val="22"/>
          <w:u w:val="single"/>
        </w:rPr>
        <w:t>szt.</w:t>
      </w:r>
    </w:p>
    <w:p w14:paraId="024D3ECC" w14:textId="77777777" w:rsidR="009E483B" w:rsidRDefault="009E483B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1F03AD30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</w:tblGrid>
      <w:tr w:rsidR="007340EB" w:rsidRPr="00ED475E" w14:paraId="7B2B641D" w14:textId="77777777" w:rsidTr="00ED43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5E76922A" w:rsidR="007340EB" w:rsidRPr="00CB0577" w:rsidRDefault="00DD02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46EF6" w:rsidRPr="00ED475E" w14:paraId="51F3BA3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AACAD09" w14:textId="77777777" w:rsidR="00646EF6" w:rsidRPr="00DF2063" w:rsidRDefault="00646EF6" w:rsidP="00646EF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Mar>
              <w:left w:w="25" w:type="dxa"/>
            </w:tcMar>
            <w:vAlign w:val="center"/>
          </w:tcPr>
          <w:p w14:paraId="5D771FE3" w14:textId="3A77CB01" w:rsidR="00646EF6" w:rsidRPr="00DF2063" w:rsidRDefault="00A72C40" w:rsidP="00646EF6">
            <w:pPr>
              <w:jc w:val="both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 xml:space="preserve">Urządzenie </w:t>
            </w:r>
            <w:r w:rsidR="00D26292">
              <w:rPr>
                <w:sz w:val="22"/>
                <w:szCs w:val="22"/>
              </w:rPr>
              <w:t xml:space="preserve">bezprzewodowe, </w:t>
            </w:r>
            <w:r w:rsidRPr="00DF2063">
              <w:rPr>
                <w:sz w:val="22"/>
                <w:szCs w:val="22"/>
              </w:rPr>
              <w:t xml:space="preserve">fabrycznie nowe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9BEEDFE" w14:textId="6A22FDB9" w:rsidR="00646EF6" w:rsidRPr="00DF2063" w:rsidRDefault="00646EF6" w:rsidP="00646EF6">
            <w:pPr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BD0DAD" w14:textId="77777777" w:rsidR="00646EF6" w:rsidRPr="00DF2063" w:rsidRDefault="00646EF6" w:rsidP="00646E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2C40" w:rsidRPr="00ED475E" w14:paraId="5D50B0D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77777777" w:rsidR="00A72C40" w:rsidRPr="00DF2063" w:rsidRDefault="00A72C40" w:rsidP="00A72C4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6C1E1442" w:rsidR="00A72C40" w:rsidRPr="00DF2063" w:rsidRDefault="00A72C40" w:rsidP="00A72C40">
            <w:pPr>
              <w:jc w:val="both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>Urządzenie przeznaczone do trudnej intubacji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37D5BA12" w:rsidR="00A72C40" w:rsidRPr="00DF2063" w:rsidRDefault="00A72C40" w:rsidP="00A72C40">
            <w:pPr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A72C40" w:rsidRPr="00DF2063" w:rsidRDefault="00A72C40" w:rsidP="00A72C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2C40" w:rsidRPr="00ED475E" w14:paraId="5810F64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77777777" w:rsidR="00A72C40" w:rsidRPr="00DF2063" w:rsidRDefault="00A72C40" w:rsidP="00A72C4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58FC2BB3" w:rsidR="00A72C40" w:rsidRPr="00DF2063" w:rsidRDefault="00A72C40" w:rsidP="00A72C40">
            <w:pPr>
              <w:pStyle w:val="Default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proofErr w:type="spellStart"/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Viedolaryngoskop</w:t>
            </w:r>
            <w:proofErr w:type="spellEnd"/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 włączany i wyłączany jednym przyciskiem wbudowanym w rękojeść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5C89018F" w:rsidR="00A72C40" w:rsidRPr="00DF2063" w:rsidRDefault="00A72C40" w:rsidP="00A72C4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77777777" w:rsidR="00A72C40" w:rsidRPr="00DF2063" w:rsidRDefault="00A72C40" w:rsidP="00A72C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2C40" w:rsidRPr="00ED475E" w14:paraId="23FB6F0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77777777" w:rsidR="00A72C40" w:rsidRPr="00DF2063" w:rsidRDefault="00A72C40" w:rsidP="00A72C4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5D255874" w:rsidR="00A72C40" w:rsidRPr="00DF2063" w:rsidRDefault="00A72C40" w:rsidP="00A72C40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Laryngoskop z monitorem LCD o średnicy min. 2,5``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6A9DA0B7" w:rsidR="00A72C40" w:rsidRPr="00DF2063" w:rsidRDefault="00A3432B" w:rsidP="00A72C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A72C40" w:rsidRPr="00DF2063" w:rsidRDefault="00A72C40" w:rsidP="00A72C40">
            <w:pPr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6ACD5C14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647D07E" w14:textId="275A2621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C1656DB" w14:textId="072711CC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Kolorowy wyświetlacz LCD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0EC44F" w14:textId="7B280194" w:rsidR="00ED43E4" w:rsidRPr="00DF2063" w:rsidRDefault="00E260B0" w:rsidP="00ED43E4">
            <w:pPr>
              <w:shd w:val="clear" w:color="auto" w:fill="FFFFFF"/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8DDFBD" w14:textId="77777777" w:rsidR="00ED43E4" w:rsidRPr="00DF2063" w:rsidRDefault="00ED43E4" w:rsidP="00ED43E4">
            <w:pPr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3BBE905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48758825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7CBF3F97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Ekran z możliwością obrotu w osi pionowej o min. 45°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52D0C409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ED43E4" w:rsidRPr="00DF2063" w:rsidRDefault="00ED43E4" w:rsidP="00ED43E4">
            <w:pPr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62F15B2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1889D760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4FF781CF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Rękojeść z okładziną antypoślizgową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7408223F" w:rsidR="00ED43E4" w:rsidRPr="00DF2063" w:rsidRDefault="00ED43E4" w:rsidP="00ED43E4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0426FF78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43ABD5" w14:textId="7B1830E6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F23E618" w14:textId="653BC913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Kamera CMOS wbudowana w laryngoskop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C845C4" w14:textId="33CD42C9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62930B8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2C851410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6A18DC24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419DC6CD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Kamera z osłoną powłoki obiektywu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5C56FA3B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34B77C56" w14:textId="77777777" w:rsidTr="00E711E7">
        <w:trPr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7B6AC2F5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5CE08BB3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Źródło światła LED wbudowane wspólnie z obiektywem kamery w końcówkę stelażu łyżki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4F402ACD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ED43E4" w:rsidRPr="00DF2063" w:rsidRDefault="00ED43E4" w:rsidP="00ED4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ED43E4" w:rsidRPr="00ED475E" w14:paraId="5DAA2D1C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E29C70E" w14:textId="5F42F898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3C65FCB" w14:textId="62ADC22A" w:rsidR="00ED43E4" w:rsidRPr="00DF2063" w:rsidRDefault="00ED43E4" w:rsidP="00ED43E4">
            <w:pPr>
              <w:shd w:val="clear" w:color="auto" w:fill="FFFFFF"/>
              <w:spacing w:line="226" w:lineRule="exact"/>
              <w:ind w:right="413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>Informacja o stanie naładowania baterii wyświetlana na ekranie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C89EC5" w14:textId="6BB6C82C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7FCB2D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134BF911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1763E" w14:textId="74E634B3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B721804" w14:textId="3EFEBFEA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Wizualny alarm niskiego stanu naładowana baterii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F79B4C" w14:textId="5E2A27AF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0D7A05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467CAC9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1BE73E" w14:textId="3E80A65F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4830817" w14:textId="6D1E4D43" w:rsidR="00ED43E4" w:rsidRPr="00DF2063" w:rsidRDefault="00ED43E4" w:rsidP="00ED43E4">
            <w:pPr>
              <w:shd w:val="clear" w:color="auto" w:fill="FFFFFF"/>
              <w:ind w:right="96"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Funkcja automatycznego wyłączania w celu optymalizacji zużycia baterii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1DA6100" w14:textId="322C5F82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C82694" w14:textId="77777777" w:rsidR="00ED43E4" w:rsidRPr="00DF2063" w:rsidRDefault="00ED43E4" w:rsidP="00ED4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4A005B6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EBFF7" w14:textId="687B615A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>14.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93748D0" w14:textId="44DEE706" w:rsidR="00ED43E4" w:rsidRPr="00DF2063" w:rsidRDefault="00ED43E4" w:rsidP="00ED43E4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>Bateria wym</w:t>
            </w:r>
            <w:r>
              <w:rPr>
                <w:sz w:val="22"/>
                <w:szCs w:val="22"/>
              </w:rPr>
              <w:t>ienna instalowana w rękojeści. P</w:t>
            </w:r>
            <w:r w:rsidRPr="00DF2063">
              <w:rPr>
                <w:sz w:val="22"/>
                <w:szCs w:val="22"/>
              </w:rPr>
              <w:t xml:space="preserve">o zamontowaniu bateria zlicowana z rękojeścią.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D404C2" w14:textId="5E45E537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C74EA1" w14:textId="77777777" w:rsidR="00ED43E4" w:rsidRPr="00DF2063" w:rsidRDefault="00ED43E4" w:rsidP="00ED4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5D9139E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AC03526" w14:textId="6052A78A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AC3B066" w14:textId="2E04436B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Bateria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litowa </w:t>
            </w: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V pozwalająca na pracę co najmniej przez 2</w:t>
            </w:r>
            <w:r w:rsidR="00F627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 minut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7E0662" w14:textId="63CE31FB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  <w:r w:rsidRPr="00DF2063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C79A4B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67B2A683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68466A" w14:textId="5DF23DE9" w:rsidR="00ED43E4" w:rsidRPr="00DF2063" w:rsidRDefault="00ED43E4" w:rsidP="00ED43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65AAE57" w14:textId="6F9E17E6" w:rsidR="00ED43E4" w:rsidRPr="00DF2063" w:rsidRDefault="00ED43E4" w:rsidP="00ED43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Ochrona min. IPX7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E83A934" w14:textId="22D04CD1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  <w:r w:rsidRPr="00DF2063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FF156B" w14:textId="77777777" w:rsidR="00ED43E4" w:rsidRPr="00DF2063" w:rsidRDefault="00ED43E4" w:rsidP="00ED43E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D43E4" w:rsidRPr="00ED475E" w14:paraId="074FED27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AACDC6" w14:textId="1F219DC8" w:rsidR="00ED43E4" w:rsidRPr="00DF2063" w:rsidRDefault="00ED43E4" w:rsidP="00ED43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2A50B21" w14:textId="6E6935F5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Maksymalna </w:t>
            </w:r>
            <w:r w:rsidR="008112F3">
              <w:rPr>
                <w:rFonts w:ascii="Times New Roman" w:hAnsi="Times New Roman" w:cs="Times New Roman"/>
                <w:sz w:val="22"/>
                <w:szCs w:val="22"/>
              </w:rPr>
              <w:t>waga</w:t>
            </w: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 xml:space="preserve"> urządzenia 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AD54696" w14:textId="55B6301F" w:rsidR="00ED43E4" w:rsidRPr="00DF2063" w:rsidRDefault="00ED43E4" w:rsidP="00ED43E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  <w:r w:rsidRPr="00DF2063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301AEC6" w14:textId="77777777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23495345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4BBEF0A" w14:textId="67AEB56E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8CDFB8B" w14:textId="06E01440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Wymiary 180mm x 68mm x 110mm (+/-5mm)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35B246" w14:textId="28FAB083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  <w:r w:rsidRPr="00DF2063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050D8E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49F6432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F0C4AF1" w14:textId="34732A82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5A3E754" w14:textId="5D758535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Urządzenie przystosowane do użycia z łyżkami jednorazowymi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FBE000E" w14:textId="5B521501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fldChar w:fldCharType="begin"/>
            </w:r>
            <w:r w:rsidRPr="00DF2063">
              <w:rPr>
                <w:color w:val="000000"/>
                <w:sz w:val="22"/>
                <w:szCs w:val="22"/>
              </w:rPr>
              <w:instrText xml:space="preserve"> LINK Word.Document.12 "\\\\192.168.60.249\\jedz\\Archiwum 2023\\Otolaryngologia wyposażenie medyczne\\Załącznik nr 2.3 do SWZ_parametry techniczne dla pakietu nr 3.docx" "OLE_LINK1" \a \r  \* MERGEFORMAT </w:instrText>
            </w:r>
            <w:r w:rsidRPr="00DF2063">
              <w:rPr>
                <w:color w:val="000000"/>
                <w:sz w:val="22"/>
                <w:szCs w:val="22"/>
              </w:rPr>
              <w:fldChar w:fldCharType="separate"/>
            </w:r>
            <w:r w:rsidRPr="00DF2063">
              <w:rPr>
                <w:color w:val="000000"/>
                <w:sz w:val="22"/>
                <w:szCs w:val="22"/>
              </w:rPr>
              <w:t>TAK</w:t>
            </w:r>
            <w:r w:rsidRPr="00DF2063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714E044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29BAC80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77C1FBE" w14:textId="41328622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FDA824E" w14:textId="008437AC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Dostępne rozmiary łyżek: od 1 do 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C316AEF" w14:textId="05189DE5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EE00BFE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552FABC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D985283" w14:textId="23A99B0A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7A25E9B" w14:textId="396C8B7C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Dostępne łyżki do trudnej intubacji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FF2160" w14:textId="2AD6A4BC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6B034C4" w14:textId="77777777" w:rsidR="00ED43E4" w:rsidRPr="00DF2063" w:rsidRDefault="00ED43E4" w:rsidP="00ED4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219251B5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6A6D0ED" w14:textId="0638F5BF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5478" w:type="dxa"/>
            <w:tcMar>
              <w:left w:w="25" w:type="dxa"/>
            </w:tcMar>
            <w:vAlign w:val="center"/>
          </w:tcPr>
          <w:p w14:paraId="48A9CD7E" w14:textId="22A50D29" w:rsidR="00ED43E4" w:rsidRPr="00DF2063" w:rsidRDefault="00ED43E4" w:rsidP="00ED4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2063">
              <w:rPr>
                <w:rFonts w:ascii="Times New Roman" w:hAnsi="Times New Roman" w:cs="Times New Roman"/>
                <w:sz w:val="22"/>
                <w:szCs w:val="22"/>
              </w:rPr>
              <w:t>Łyżki montowane na zatrzask. Jedno kliknięcie stanowi bezpieczne połączenie łyżki z urządzeniem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E173A8" w14:textId="7AB70F55" w:rsidR="00ED43E4" w:rsidRPr="00DF2063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C1EB97D" w14:textId="77777777" w:rsidR="00ED43E4" w:rsidRPr="00DF2063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43E4" w:rsidRPr="00ED475E" w14:paraId="3F5B4BB5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25A38A7" w14:textId="5504FF8F" w:rsidR="00ED43E4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A3C28D8" w14:textId="7B2C6849" w:rsidR="00ED43E4" w:rsidRDefault="00ED43E4" w:rsidP="00ED43E4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Łyżki z </w:t>
            </w:r>
            <w:r w:rsidR="00664009">
              <w:rPr>
                <w:rFonts w:ascii="Times New Roman" w:hAnsi="Times New Roman" w:cs="Times New Roman"/>
              </w:rPr>
              <w:t xml:space="preserve">polimeru optycznego, </w:t>
            </w:r>
            <w:r>
              <w:rPr>
                <w:rFonts w:ascii="Times New Roman" w:hAnsi="Times New Roman" w:cs="Times New Roman"/>
              </w:rPr>
              <w:t>materiału odpornego na zaparowanie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F7DFED" w14:textId="31EEE67E" w:rsidR="00ED43E4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5671DE" w14:textId="77777777" w:rsidR="00ED43E4" w:rsidRDefault="00ED43E4" w:rsidP="00ED43E4">
            <w:pPr>
              <w:rPr>
                <w:i/>
                <w:color w:val="FF0000"/>
              </w:rPr>
            </w:pPr>
          </w:p>
        </w:tc>
      </w:tr>
      <w:tr w:rsidR="00ED43E4" w:rsidRPr="00ED475E" w14:paraId="45047E49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2A818D9" w14:textId="3BCCF5CE" w:rsidR="00ED43E4" w:rsidRDefault="00ED43E4" w:rsidP="00ED4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358C9D" w14:textId="77777777" w:rsidR="00ED43E4" w:rsidRDefault="00ED43E4" w:rsidP="00ED43E4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komplecie</w:t>
            </w:r>
            <w:r w:rsidR="00807EB3">
              <w:rPr>
                <w:rFonts w:ascii="Times New Roman" w:hAnsi="Times New Roman" w:cs="Times New Roman"/>
              </w:rPr>
              <w:t xml:space="preserve">: </w:t>
            </w:r>
            <w:r w:rsidR="00664009">
              <w:rPr>
                <w:rFonts w:ascii="Times New Roman" w:hAnsi="Times New Roman" w:cs="Times New Roman"/>
              </w:rPr>
              <w:t xml:space="preserve">bateria, </w:t>
            </w:r>
            <w:r w:rsidR="00807EB3">
              <w:rPr>
                <w:rFonts w:ascii="Times New Roman" w:hAnsi="Times New Roman" w:cs="Times New Roman"/>
              </w:rPr>
              <w:t xml:space="preserve">etui i </w:t>
            </w:r>
            <w:r>
              <w:rPr>
                <w:rFonts w:ascii="Times New Roman" w:hAnsi="Times New Roman" w:cs="Times New Roman"/>
              </w:rPr>
              <w:t>2 opakowania łyżek</w:t>
            </w:r>
            <w:r w:rsidR="00AE41CE">
              <w:rPr>
                <w:rFonts w:ascii="Times New Roman" w:hAnsi="Times New Roman" w:cs="Times New Roman"/>
              </w:rPr>
              <w:t>:</w:t>
            </w:r>
          </w:p>
          <w:p w14:paraId="530C1A1E" w14:textId="77777777" w:rsidR="00AE41CE" w:rsidRDefault="00AE41CE" w:rsidP="00ED43E4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Rozm. 3 – 1 op.</w:t>
            </w:r>
          </w:p>
          <w:p w14:paraId="55CDF999" w14:textId="23F70223" w:rsidR="00AE41CE" w:rsidRDefault="00AE41CE" w:rsidP="00ED43E4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Rozm. 4 – 1 op.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ED4855" w14:textId="05EB1C5E" w:rsidR="00ED43E4" w:rsidRPr="005A3D57" w:rsidRDefault="00ED43E4" w:rsidP="00ED4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E41CE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EFCD857" w14:textId="77777777" w:rsidR="00ED43E4" w:rsidRDefault="00ED43E4" w:rsidP="00ED43E4">
            <w:pPr>
              <w:rPr>
                <w:i/>
                <w:color w:val="FF0000"/>
              </w:rPr>
            </w:pPr>
          </w:p>
        </w:tc>
      </w:tr>
      <w:tr w:rsidR="00E260B0" w:rsidRPr="00ED475E" w14:paraId="2AA2F5F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6C616FD1" w:rsidR="00E260B0" w:rsidRDefault="007A60F7" w:rsidP="00E260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E260B0" w:rsidRPr="00DF2063" w:rsidRDefault="00E260B0" w:rsidP="00E260B0">
            <w:pPr>
              <w:rPr>
                <w:color w:val="auto"/>
                <w:sz w:val="22"/>
                <w:szCs w:val="22"/>
              </w:rPr>
            </w:pPr>
            <w:r w:rsidRPr="00DF2063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DF2063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E260B0" w:rsidRPr="00DF2063" w:rsidRDefault="00E260B0" w:rsidP="00E260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E260B0" w:rsidRPr="00DF2063" w:rsidRDefault="00E260B0" w:rsidP="00E260B0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E260B0" w:rsidRPr="00ED475E" w14:paraId="6A7D7A33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12BD6D0E" w:rsidR="00E260B0" w:rsidRPr="00DF2063" w:rsidRDefault="00E260B0" w:rsidP="00E260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A60F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E260B0" w:rsidRPr="00DF2063" w:rsidRDefault="00E260B0" w:rsidP="00E260B0">
            <w:pPr>
              <w:rPr>
                <w:color w:val="auto"/>
                <w:sz w:val="22"/>
                <w:szCs w:val="22"/>
              </w:rPr>
            </w:pPr>
            <w:r w:rsidRPr="00DF2063">
              <w:rPr>
                <w:color w:val="auto"/>
                <w:sz w:val="22"/>
                <w:szCs w:val="22"/>
              </w:rPr>
              <w:t xml:space="preserve">Karta gwarancyjna </w:t>
            </w:r>
            <w:r w:rsidRPr="00DF2063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E260B0" w:rsidRPr="00DF2063" w:rsidRDefault="00E260B0" w:rsidP="00E260B0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E260B0" w:rsidRPr="00DF2063" w:rsidRDefault="00E260B0" w:rsidP="00E260B0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AFA2" w14:textId="77777777" w:rsidR="002F175C" w:rsidRDefault="002F175C" w:rsidP="00002375">
      <w:pPr>
        <w:spacing w:line="240" w:lineRule="auto"/>
      </w:pPr>
      <w:r>
        <w:separator/>
      </w:r>
    </w:p>
  </w:endnote>
  <w:endnote w:type="continuationSeparator" w:id="0">
    <w:p w14:paraId="52C1ADB7" w14:textId="77777777" w:rsidR="002F175C" w:rsidRDefault="002F175C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095456"/>
      <w:docPartObj>
        <w:docPartGallery w:val="Page Numbers (Bottom of Page)"/>
        <w:docPartUnique/>
      </w:docPartObj>
    </w:sdtPr>
    <w:sdtContent>
      <w:p w14:paraId="771499A3" w14:textId="5223335C" w:rsidR="000D3045" w:rsidRDefault="000D30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309B2" w14:textId="77777777" w:rsidR="000D3045" w:rsidRDefault="000D3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4B32C" w14:textId="77777777" w:rsidR="002F175C" w:rsidRDefault="002F175C" w:rsidP="00002375">
      <w:pPr>
        <w:spacing w:line="240" w:lineRule="auto"/>
      </w:pPr>
      <w:r>
        <w:separator/>
      </w:r>
    </w:p>
  </w:footnote>
  <w:footnote w:type="continuationSeparator" w:id="0">
    <w:p w14:paraId="2825EDA2" w14:textId="77777777" w:rsidR="002F175C" w:rsidRDefault="002F175C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306815153">
    <w:abstractNumId w:val="0"/>
  </w:num>
  <w:num w:numId="2" w16cid:durableId="1763258928">
    <w:abstractNumId w:val="2"/>
  </w:num>
  <w:num w:numId="3" w16cid:durableId="66994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03706"/>
    <w:rsid w:val="00012EE7"/>
    <w:rsid w:val="00043CA7"/>
    <w:rsid w:val="00057D18"/>
    <w:rsid w:val="0007137A"/>
    <w:rsid w:val="000B1B4D"/>
    <w:rsid w:val="000B71F8"/>
    <w:rsid w:val="000B77ED"/>
    <w:rsid w:val="000D3045"/>
    <w:rsid w:val="000E2200"/>
    <w:rsid w:val="000F1015"/>
    <w:rsid w:val="0011019A"/>
    <w:rsid w:val="00123FB3"/>
    <w:rsid w:val="00126CFB"/>
    <w:rsid w:val="00130225"/>
    <w:rsid w:val="0013156B"/>
    <w:rsid w:val="001339B5"/>
    <w:rsid w:val="0015688B"/>
    <w:rsid w:val="00172713"/>
    <w:rsid w:val="00187A09"/>
    <w:rsid w:val="001A1A62"/>
    <w:rsid w:val="001C4435"/>
    <w:rsid w:val="001D5B22"/>
    <w:rsid w:val="001E2CD9"/>
    <w:rsid w:val="001E4E7D"/>
    <w:rsid w:val="002068E0"/>
    <w:rsid w:val="00242A5B"/>
    <w:rsid w:val="002616FB"/>
    <w:rsid w:val="00265634"/>
    <w:rsid w:val="00275E48"/>
    <w:rsid w:val="002820EF"/>
    <w:rsid w:val="002C1CF9"/>
    <w:rsid w:val="002F175C"/>
    <w:rsid w:val="002F3593"/>
    <w:rsid w:val="00301DA9"/>
    <w:rsid w:val="0032320E"/>
    <w:rsid w:val="00324CEF"/>
    <w:rsid w:val="00327AE1"/>
    <w:rsid w:val="0033266C"/>
    <w:rsid w:val="00334C7D"/>
    <w:rsid w:val="0038243D"/>
    <w:rsid w:val="00382DC3"/>
    <w:rsid w:val="0038399F"/>
    <w:rsid w:val="00392A7E"/>
    <w:rsid w:val="003B2089"/>
    <w:rsid w:val="004063CB"/>
    <w:rsid w:val="00414D58"/>
    <w:rsid w:val="00462748"/>
    <w:rsid w:val="00526468"/>
    <w:rsid w:val="0053541D"/>
    <w:rsid w:val="00580546"/>
    <w:rsid w:val="00585928"/>
    <w:rsid w:val="005A04CD"/>
    <w:rsid w:val="005A3D57"/>
    <w:rsid w:val="005F615D"/>
    <w:rsid w:val="00612619"/>
    <w:rsid w:val="00646EF6"/>
    <w:rsid w:val="00664009"/>
    <w:rsid w:val="006946BA"/>
    <w:rsid w:val="006A096D"/>
    <w:rsid w:val="006A284E"/>
    <w:rsid w:val="006B2C45"/>
    <w:rsid w:val="006C6CD3"/>
    <w:rsid w:val="006E2994"/>
    <w:rsid w:val="006E427F"/>
    <w:rsid w:val="0070503E"/>
    <w:rsid w:val="00720FCA"/>
    <w:rsid w:val="00725580"/>
    <w:rsid w:val="007340EB"/>
    <w:rsid w:val="00765A2C"/>
    <w:rsid w:val="007A60F7"/>
    <w:rsid w:val="007C16E3"/>
    <w:rsid w:val="007D0B20"/>
    <w:rsid w:val="007F0DE3"/>
    <w:rsid w:val="00801C00"/>
    <w:rsid w:val="00807EB3"/>
    <w:rsid w:val="008112F3"/>
    <w:rsid w:val="00821458"/>
    <w:rsid w:val="008439E7"/>
    <w:rsid w:val="00845975"/>
    <w:rsid w:val="008753D5"/>
    <w:rsid w:val="00884183"/>
    <w:rsid w:val="00915C1A"/>
    <w:rsid w:val="00927C56"/>
    <w:rsid w:val="00940DD2"/>
    <w:rsid w:val="009414B7"/>
    <w:rsid w:val="00941ADB"/>
    <w:rsid w:val="00954A8B"/>
    <w:rsid w:val="00976F3D"/>
    <w:rsid w:val="00980E8F"/>
    <w:rsid w:val="009D5166"/>
    <w:rsid w:val="009E483B"/>
    <w:rsid w:val="00A12A7D"/>
    <w:rsid w:val="00A24350"/>
    <w:rsid w:val="00A2438F"/>
    <w:rsid w:val="00A3432B"/>
    <w:rsid w:val="00A366EE"/>
    <w:rsid w:val="00A37E2E"/>
    <w:rsid w:val="00A60769"/>
    <w:rsid w:val="00A72C40"/>
    <w:rsid w:val="00A7703C"/>
    <w:rsid w:val="00A77AAA"/>
    <w:rsid w:val="00AB0E50"/>
    <w:rsid w:val="00AE41CE"/>
    <w:rsid w:val="00B03E6D"/>
    <w:rsid w:val="00B358EE"/>
    <w:rsid w:val="00B36B26"/>
    <w:rsid w:val="00B41CDA"/>
    <w:rsid w:val="00B70971"/>
    <w:rsid w:val="00B93AD3"/>
    <w:rsid w:val="00BA4DEB"/>
    <w:rsid w:val="00BA5E9D"/>
    <w:rsid w:val="00C74B30"/>
    <w:rsid w:val="00C807B8"/>
    <w:rsid w:val="00C85A0E"/>
    <w:rsid w:val="00C953D3"/>
    <w:rsid w:val="00CA1BDC"/>
    <w:rsid w:val="00CB0577"/>
    <w:rsid w:val="00CB2FF8"/>
    <w:rsid w:val="00CD1658"/>
    <w:rsid w:val="00CE3537"/>
    <w:rsid w:val="00CF71B4"/>
    <w:rsid w:val="00D14C2F"/>
    <w:rsid w:val="00D26292"/>
    <w:rsid w:val="00D67077"/>
    <w:rsid w:val="00D71162"/>
    <w:rsid w:val="00D72328"/>
    <w:rsid w:val="00D741E8"/>
    <w:rsid w:val="00D93525"/>
    <w:rsid w:val="00DA671A"/>
    <w:rsid w:val="00DC3326"/>
    <w:rsid w:val="00DD0251"/>
    <w:rsid w:val="00DE216C"/>
    <w:rsid w:val="00DE3FD0"/>
    <w:rsid w:val="00DF2063"/>
    <w:rsid w:val="00E04077"/>
    <w:rsid w:val="00E17B3C"/>
    <w:rsid w:val="00E260B0"/>
    <w:rsid w:val="00E356FC"/>
    <w:rsid w:val="00E46D81"/>
    <w:rsid w:val="00E711E7"/>
    <w:rsid w:val="00E87F64"/>
    <w:rsid w:val="00EA59EA"/>
    <w:rsid w:val="00EB0899"/>
    <w:rsid w:val="00EC6FE4"/>
    <w:rsid w:val="00ED43E4"/>
    <w:rsid w:val="00ED475E"/>
    <w:rsid w:val="00EE4B1D"/>
    <w:rsid w:val="00EE556B"/>
    <w:rsid w:val="00F140D6"/>
    <w:rsid w:val="00F30560"/>
    <w:rsid w:val="00F4437A"/>
    <w:rsid w:val="00F6269F"/>
    <w:rsid w:val="00F627AD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5</cp:revision>
  <cp:lastPrinted>2025-08-27T07:53:00Z</cp:lastPrinted>
  <dcterms:created xsi:type="dcterms:W3CDTF">2025-08-27T06:16:00Z</dcterms:created>
  <dcterms:modified xsi:type="dcterms:W3CDTF">2025-08-27T07:54:00Z</dcterms:modified>
</cp:coreProperties>
</file>