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967EE8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07C2552B" w14:textId="77777777" w:rsidR="00A97B26" w:rsidRPr="00967EE8" w:rsidRDefault="00A97B26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1C1A3412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 xml:space="preserve">UMOWA  NR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D21AA2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6AB17114" w14:textId="77777777" w:rsidR="001E2E8D" w:rsidRPr="001E2E8D" w:rsidRDefault="001E2E8D" w:rsidP="001E2E8D"/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967EE8" w:rsidRDefault="001C221A" w:rsidP="00967EE8">
      <w:pPr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25A11664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8D7290">
        <w:rPr>
          <w:b/>
          <w:iCs/>
          <w:sz w:val="22"/>
          <w:szCs w:val="22"/>
          <w:lang w:eastAsia="pl-PL"/>
        </w:rPr>
        <w:t>2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361FB8">
        <w:rPr>
          <w:b/>
          <w:iCs/>
          <w:sz w:val="22"/>
          <w:szCs w:val="22"/>
          <w:lang w:eastAsia="pl-PL"/>
        </w:rPr>
        <w:t>ES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D21AA2" w:rsidRPr="00D21AA2">
        <w:rPr>
          <w:b/>
          <w:bCs/>
          <w:sz w:val="22"/>
          <w:szCs w:val="22"/>
        </w:rPr>
        <w:t>Sukcesywne dostawy odczynników i materiałów zużywalnych do wykonywania badań immunohematologicznych dla potrzeb Pracowni Immunologii Transfuzjologicznej 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z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52665C79" w14:textId="6FED15F8" w:rsidR="00C44819" w:rsidRPr="00967EE8" w:rsidRDefault="00561A6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561A69">
        <w:rPr>
          <w:spacing w:val="-8"/>
          <w:sz w:val="22"/>
          <w:szCs w:val="22"/>
        </w:rPr>
        <w:t xml:space="preserve">Wykonawca przyjmuje do realizacji zamówienie na ,, </w:t>
      </w:r>
      <w:r w:rsidR="00D21AA2" w:rsidRPr="00D21AA2">
        <w:rPr>
          <w:spacing w:val="-8"/>
          <w:sz w:val="22"/>
          <w:szCs w:val="22"/>
        </w:rPr>
        <w:t>Sukcesywne dostawy odczynników i materiałów zużywalnych do wykonywania badań immunohematologicznych dla potrzeb Pracowni Immunologii Transfuzjologicznej  Wojewódzkiego Szpitala Zespolonego w Kielcach</w:t>
      </w:r>
      <w:r w:rsidR="00D21AA2">
        <w:rPr>
          <w:spacing w:val="-8"/>
          <w:sz w:val="22"/>
          <w:szCs w:val="22"/>
        </w:rPr>
        <w:t>”</w:t>
      </w:r>
      <w:r w:rsidRPr="00561A69">
        <w:rPr>
          <w:spacing w:val="-8"/>
          <w:sz w:val="22"/>
          <w:szCs w:val="22"/>
        </w:rPr>
        <w:t>, wyspecyfikowanych  w Pakiet nr …  – (nazwa pakietu), wg zał. nr …., który/e stanowi/ą integralną część niniejszej umowy.</w:t>
      </w:r>
    </w:p>
    <w:p w14:paraId="395F6CB5" w14:textId="77777777" w:rsidR="00561A69" w:rsidRDefault="00561A69" w:rsidP="00967EE8">
      <w:pPr>
        <w:ind w:left="284" w:hanging="284"/>
        <w:jc w:val="center"/>
        <w:rPr>
          <w:b/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774C817E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D21AA2">
        <w:rPr>
          <w:sz w:val="22"/>
          <w:szCs w:val="22"/>
        </w:rPr>
        <w:t>36</w:t>
      </w:r>
      <w:r w:rsidRPr="00980C0B">
        <w:rPr>
          <w:sz w:val="22"/>
          <w:szCs w:val="22"/>
        </w:rPr>
        <w:t xml:space="preserve"> miesięcy od daty zawarcia niniejszej umowy.</w:t>
      </w:r>
    </w:p>
    <w:p w14:paraId="4F053D7B" w14:textId="03AC5F1F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do </w:t>
      </w:r>
      <w:r w:rsidR="00D21AA2">
        <w:rPr>
          <w:sz w:val="22"/>
          <w:szCs w:val="22"/>
        </w:rPr>
        <w:t>12</w:t>
      </w:r>
      <w:r w:rsidRPr="00980C0B">
        <w:rPr>
          <w:sz w:val="22"/>
          <w:szCs w:val="22"/>
        </w:rPr>
        <w:t xml:space="preserve"> </w:t>
      </w:r>
      <w:r w:rsidR="00843F92" w:rsidRPr="00980C0B">
        <w:rPr>
          <w:sz w:val="22"/>
          <w:szCs w:val="22"/>
        </w:rPr>
        <w:t>mies</w:t>
      </w:r>
      <w:r w:rsidR="00931789">
        <w:rPr>
          <w:sz w:val="22"/>
          <w:szCs w:val="22"/>
        </w:rPr>
        <w:t>i</w:t>
      </w:r>
      <w:r w:rsidR="003A2209">
        <w:rPr>
          <w:sz w:val="22"/>
          <w:szCs w:val="22"/>
        </w:rPr>
        <w:t>ęcy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4439DDCF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Realizacja umowy</w:t>
      </w:r>
    </w:p>
    <w:p w14:paraId="197ED2F7" w14:textId="77777777" w:rsidR="009866BE" w:rsidRPr="009866BE" w:rsidRDefault="009866BE" w:rsidP="009866BE">
      <w:pPr>
        <w:pStyle w:val="Akapitzlist"/>
        <w:numPr>
          <w:ilvl w:val="0"/>
          <w:numId w:val="42"/>
        </w:numPr>
        <w:tabs>
          <w:tab w:val="clear" w:pos="720"/>
        </w:tabs>
        <w:ind w:left="426" w:hanging="426"/>
        <w:rPr>
          <w:rFonts w:eastAsia="Calibri"/>
          <w:sz w:val="22"/>
          <w:szCs w:val="22"/>
          <w:lang w:eastAsia="ar-SA"/>
        </w:rPr>
      </w:pPr>
      <w:r w:rsidRPr="009866BE">
        <w:rPr>
          <w:rFonts w:eastAsia="Calibri"/>
          <w:sz w:val="22"/>
          <w:szCs w:val="22"/>
          <w:lang w:eastAsia="ar-SA"/>
        </w:rPr>
        <w:t>Wykonawca zobowiązuje się dostarczać sukcesywnie przedmiot zamówienia ustalony wg załącznika nr 1 do magazynu medycznego zlokalizowanego w Wojewódzkim Szpitalu Zespolonym w Kielcach przy ul. Grunwaldzkiej 45, na zasadach określonych w § 4 zgodnie z zamówieniem przesłanym przez Dział Realizacji.</w:t>
      </w:r>
    </w:p>
    <w:p w14:paraId="64E76F59" w14:textId="75E177E7" w:rsidR="00561A69" w:rsidRPr="009A14AF" w:rsidRDefault="003E7482" w:rsidP="009A14AF">
      <w:pPr>
        <w:pStyle w:val="Akapitzlist"/>
        <w:numPr>
          <w:ilvl w:val="0"/>
          <w:numId w:val="42"/>
        </w:numPr>
        <w:tabs>
          <w:tab w:val="clear" w:pos="720"/>
        </w:tabs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3E7482">
        <w:rPr>
          <w:rFonts w:eastAsia="Calibri"/>
          <w:sz w:val="22"/>
          <w:szCs w:val="22"/>
          <w:lang w:eastAsia="ar-SA"/>
        </w:rPr>
        <w:t>Wykonawca oświadcza iż dostarczony towar będzie miał co najmniej 12 miesięczny okres przydatności do użycia</w:t>
      </w:r>
      <w:r w:rsidR="00C9017B">
        <w:rPr>
          <w:rFonts w:eastAsia="Calibri"/>
          <w:sz w:val="22"/>
          <w:szCs w:val="22"/>
          <w:lang w:eastAsia="ar-SA"/>
        </w:rPr>
        <w:t xml:space="preserve"> z zastrzeżeniem, iż termin ważności odczynników minimum 6 m-</w:t>
      </w:r>
      <w:proofErr w:type="spellStart"/>
      <w:r w:rsidR="00C9017B">
        <w:rPr>
          <w:rFonts w:eastAsia="Calibri"/>
          <w:sz w:val="22"/>
          <w:szCs w:val="22"/>
          <w:lang w:eastAsia="ar-SA"/>
        </w:rPr>
        <w:t>cy</w:t>
      </w:r>
      <w:proofErr w:type="spellEnd"/>
      <w:r w:rsidR="00C9017B">
        <w:rPr>
          <w:rFonts w:eastAsia="Calibri"/>
          <w:sz w:val="22"/>
          <w:szCs w:val="22"/>
          <w:lang w:eastAsia="ar-SA"/>
        </w:rPr>
        <w:t xml:space="preserve"> oraz krwinek wzorcowych minimum 5 tygodni od daty dostarczenia, </w:t>
      </w:r>
      <w:r w:rsidRPr="003E7482">
        <w:rPr>
          <w:rFonts w:eastAsia="Calibri"/>
          <w:sz w:val="22"/>
          <w:szCs w:val="22"/>
          <w:lang w:eastAsia="ar-SA"/>
        </w:rPr>
        <w:t>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1DA7A68A" w14:textId="77777777" w:rsidR="00561A69" w:rsidRPr="00561A69" w:rsidRDefault="00561A69" w:rsidP="00561A69">
      <w:pPr>
        <w:widowControl w:val="0"/>
        <w:tabs>
          <w:tab w:val="left" w:pos="284"/>
        </w:tabs>
        <w:suppressAutoHyphens w:val="0"/>
        <w:jc w:val="both"/>
        <w:rPr>
          <w:rFonts w:eastAsia="Calibri"/>
          <w:sz w:val="22"/>
          <w:szCs w:val="22"/>
          <w:lang w:eastAsia="ar-SA"/>
        </w:rPr>
      </w:pPr>
    </w:p>
    <w:p w14:paraId="1F6FF877" w14:textId="14711D2D" w:rsidR="003E7482" w:rsidRPr="003E7482" w:rsidRDefault="003E7482" w:rsidP="003E7482">
      <w:pPr>
        <w:pStyle w:val="Akapitzlist"/>
        <w:numPr>
          <w:ilvl w:val="0"/>
          <w:numId w:val="42"/>
        </w:numPr>
        <w:tabs>
          <w:tab w:val="clear" w:pos="720"/>
        </w:tabs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3E7482">
        <w:rPr>
          <w:rFonts w:eastAsia="Calibri"/>
          <w:sz w:val="22"/>
          <w:szCs w:val="22"/>
          <w:lang w:eastAsia="ar-SA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7 kwietnia 2022r. o wyrobach medycznych (Dz.U. z 202</w:t>
      </w:r>
      <w:r w:rsidR="00EB3D1A">
        <w:rPr>
          <w:rFonts w:eastAsia="Calibri"/>
          <w:sz w:val="22"/>
          <w:szCs w:val="22"/>
          <w:lang w:eastAsia="ar-SA"/>
        </w:rPr>
        <w:t>4</w:t>
      </w:r>
      <w:r w:rsidRPr="003E7482">
        <w:rPr>
          <w:rFonts w:eastAsia="Calibri"/>
          <w:sz w:val="22"/>
          <w:szCs w:val="22"/>
          <w:lang w:eastAsia="ar-SA"/>
        </w:rPr>
        <w:t xml:space="preserve">r., poz. </w:t>
      </w:r>
      <w:r w:rsidR="00EB3D1A">
        <w:rPr>
          <w:rFonts w:eastAsia="Calibri"/>
          <w:sz w:val="22"/>
          <w:szCs w:val="22"/>
          <w:lang w:eastAsia="ar-SA"/>
        </w:rPr>
        <w:t>1620</w:t>
      </w:r>
      <w:r w:rsidRPr="003E7482">
        <w:rPr>
          <w:rFonts w:eastAsia="Calibri"/>
          <w:sz w:val="22"/>
          <w:szCs w:val="22"/>
          <w:lang w:eastAsia="ar-SA"/>
        </w:rPr>
        <w:t>).</w:t>
      </w:r>
    </w:p>
    <w:p w14:paraId="398CAD62" w14:textId="0FDA2141" w:rsidR="003E7482" w:rsidRPr="003E7482" w:rsidRDefault="003E7482" w:rsidP="003E7482">
      <w:pPr>
        <w:pStyle w:val="Akapitzlist"/>
        <w:numPr>
          <w:ilvl w:val="0"/>
          <w:numId w:val="42"/>
        </w:numPr>
        <w:tabs>
          <w:tab w:val="clear" w:pos="720"/>
        </w:tabs>
        <w:ind w:left="284" w:hanging="284"/>
        <w:rPr>
          <w:rFonts w:eastAsia="Calibri"/>
          <w:sz w:val="22"/>
          <w:szCs w:val="22"/>
          <w:lang w:eastAsia="pl-PL"/>
        </w:rPr>
      </w:pPr>
      <w:r w:rsidRPr="003E7482">
        <w:rPr>
          <w:rFonts w:eastAsia="Calibri"/>
          <w:sz w:val="22"/>
          <w:szCs w:val="22"/>
          <w:lang w:eastAsia="pl-PL"/>
        </w:rPr>
        <w:t>Wykonawca zobowiązany jest do przedłożenia certyfikatów i/lub deklaracji zgodności o których mowa w ustawie o wyrobach medycznych  (Dz.U. z 202</w:t>
      </w:r>
      <w:r w:rsidR="00EB3D1A">
        <w:rPr>
          <w:rFonts w:eastAsia="Calibri"/>
          <w:sz w:val="22"/>
          <w:szCs w:val="22"/>
          <w:lang w:eastAsia="pl-PL"/>
        </w:rPr>
        <w:t>4</w:t>
      </w:r>
      <w:r w:rsidRPr="003E7482">
        <w:rPr>
          <w:rFonts w:eastAsia="Calibri"/>
          <w:sz w:val="22"/>
          <w:szCs w:val="22"/>
          <w:lang w:eastAsia="pl-PL"/>
        </w:rPr>
        <w:t xml:space="preserve"> r., poz. </w:t>
      </w:r>
      <w:r w:rsidR="00EB3D1A">
        <w:rPr>
          <w:rFonts w:eastAsia="Calibri"/>
          <w:sz w:val="22"/>
          <w:szCs w:val="22"/>
          <w:lang w:eastAsia="pl-PL"/>
        </w:rPr>
        <w:t>1620)</w:t>
      </w:r>
      <w:r w:rsidRPr="003E7482">
        <w:rPr>
          <w:rFonts w:eastAsia="Calibri"/>
          <w:sz w:val="22"/>
          <w:szCs w:val="22"/>
          <w:lang w:eastAsia="pl-PL"/>
        </w:rPr>
        <w:t xml:space="preserve"> na żądanie Zamawiającego w terminie 5 dni roboczych.</w:t>
      </w:r>
    </w:p>
    <w:p w14:paraId="4FE0E072" w14:textId="422519E4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Zamawiający ma prawo odmowy odbioru towaru niezgodnego z umową lub 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który ma wady zmniejszające jego wartość lub użyteczność w szczególności w przypadku o którym mowa w ust. 6 oraz towaru którego opakowanie jest naruszone lub nie zawiera informacji o terminie ważności. Postanowienia </w:t>
      </w:r>
      <w:r w:rsidRPr="00561A69">
        <w:rPr>
          <w:rFonts w:eastAsia="Calibri"/>
          <w:bCs/>
          <w:sz w:val="22"/>
          <w:szCs w:val="22"/>
          <w:lang w:eastAsia="pl-PL"/>
        </w:rPr>
        <w:t>§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</w:t>
      </w:r>
      <w:r w:rsidR="00F9462A">
        <w:rPr>
          <w:rFonts w:eastAsia="Calibri"/>
          <w:bCs/>
          <w:iCs/>
          <w:sz w:val="22"/>
          <w:szCs w:val="22"/>
          <w:lang w:eastAsia="pl-PL"/>
        </w:rPr>
        <w:t>8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ust. 3 stosuje się odpowiednio.</w:t>
      </w:r>
    </w:p>
    <w:p w14:paraId="0BF0818F" w14:textId="2B803D10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Zamawiający zastrzega sobie prawo niepełnej realizacji umowy w zakresie ilości asortymentu będącego przedmiotem umowy. w zależności od bieżących potrzeb.</w:t>
      </w:r>
      <w:r w:rsidRPr="00561A69">
        <w:rPr>
          <w:rFonts w:eastAsia="Calibri"/>
          <w:sz w:val="22"/>
          <w:szCs w:val="22"/>
        </w:rPr>
        <w:t xml:space="preserve"> Łączna wartość ograniczenia nie przekroczy 30% wartości umowy określonej w </w:t>
      </w:r>
      <w:r w:rsidRPr="00561A69">
        <w:rPr>
          <w:rFonts w:eastAsia="Calibri"/>
          <w:bCs/>
          <w:sz w:val="22"/>
          <w:szCs w:val="22"/>
          <w:lang w:eastAsia="pl-PL"/>
        </w:rPr>
        <w:t>§ 6 ust. 1</w:t>
      </w:r>
      <w:r w:rsidRPr="00561A69">
        <w:rPr>
          <w:rFonts w:eastAsia="Calibri"/>
          <w:sz w:val="22"/>
          <w:szCs w:val="22"/>
          <w:lang w:eastAsia="pl-PL"/>
        </w:rPr>
        <w:t xml:space="preserve"> </w:t>
      </w:r>
    </w:p>
    <w:p w14:paraId="24A70240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 Strony postanawiają, iż osobami odpowiedzialnymi za kontakty w zakresie realizacji umowy będą:</w:t>
      </w:r>
    </w:p>
    <w:p w14:paraId="360E06AD" w14:textId="166C2E46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 xml:space="preserve">ze strony Zamawiającego Pani </w:t>
      </w:r>
      <w:r w:rsidR="003E7482">
        <w:rPr>
          <w:rFonts w:eastAsia="Calibri"/>
          <w:spacing w:val="-6"/>
          <w:sz w:val="22"/>
          <w:szCs w:val="22"/>
          <w:lang w:eastAsia="pl-PL"/>
        </w:rPr>
        <w:t>…………………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561A69">
        <w:rPr>
          <w:sz w:val="22"/>
          <w:szCs w:val="22"/>
          <w:lang w:eastAsia="pl-PL"/>
        </w:rPr>
        <w:t xml:space="preserve">tel. </w:t>
      </w:r>
      <w:r w:rsidR="003E7482">
        <w:rPr>
          <w:sz w:val="22"/>
          <w:szCs w:val="22"/>
          <w:lang w:eastAsia="pl-PL"/>
        </w:rPr>
        <w:t>………….</w:t>
      </w:r>
      <w:r w:rsidR="005F3B32">
        <w:rPr>
          <w:sz w:val="22"/>
          <w:szCs w:val="22"/>
          <w:lang w:eastAsia="pl-PL"/>
        </w:rPr>
        <w:t xml:space="preserve"> </w:t>
      </w:r>
      <w:r w:rsidRPr="00561A69">
        <w:rPr>
          <w:sz w:val="22"/>
          <w:szCs w:val="22"/>
          <w:lang w:eastAsia="pl-PL"/>
        </w:rPr>
        <w:t xml:space="preserve"> </w:t>
      </w:r>
      <w:r w:rsidRPr="00561A69">
        <w:rPr>
          <w:rFonts w:eastAsia="Calibri"/>
          <w:sz w:val="22"/>
          <w:szCs w:val="22"/>
          <w:lang w:eastAsia="pl-PL"/>
        </w:rPr>
        <w:t xml:space="preserve">mail </w:t>
      </w:r>
      <w:r w:rsidR="003E7482">
        <w:t>…………………………….</w:t>
      </w:r>
    </w:p>
    <w:p w14:paraId="5322E1E1" w14:textId="233B0D76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>ze strony Wykonawcy Pani …………………….., tel. …………</w:t>
      </w:r>
      <w:r w:rsidR="003E7482">
        <w:rPr>
          <w:rFonts w:eastAsia="Calibri"/>
          <w:spacing w:val="-6"/>
          <w:sz w:val="22"/>
          <w:szCs w:val="22"/>
          <w:lang w:eastAsia="pl-PL"/>
        </w:rPr>
        <w:t xml:space="preserve">  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mail </w:t>
      </w:r>
      <w:r w:rsidRPr="00561A69">
        <w:rPr>
          <w:rFonts w:eastAsia="Calibri"/>
          <w:color w:val="0000FF"/>
          <w:sz w:val="22"/>
          <w:szCs w:val="22"/>
          <w:u w:val="single"/>
          <w:lang w:eastAsia="pl-PL"/>
        </w:rPr>
        <w:t>…………………………</w:t>
      </w:r>
    </w:p>
    <w:p w14:paraId="7C405611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rPr>
          <w:rFonts w:eastAsia="Calibri"/>
          <w:b/>
          <w:sz w:val="22"/>
          <w:szCs w:val="22"/>
          <w:lang w:eastAsia="pl-PL"/>
        </w:rPr>
      </w:pP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 3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r. o dniach wolnych od pracy (</w:t>
      </w:r>
      <w:proofErr w:type="spellStart"/>
      <w:r w:rsidRPr="00561A69">
        <w:rPr>
          <w:rFonts w:eastAsia="Calibri"/>
          <w:sz w:val="22"/>
          <w:szCs w:val="22"/>
          <w:lang w:eastAsia="pl-PL"/>
        </w:rPr>
        <w:t>t.j</w:t>
      </w:r>
      <w:proofErr w:type="spellEnd"/>
      <w:r w:rsidRPr="00561A69">
        <w:rPr>
          <w:rFonts w:eastAsia="Calibri"/>
          <w:sz w:val="22"/>
          <w:szCs w:val="22"/>
          <w:lang w:eastAsia="pl-PL"/>
        </w:rPr>
        <w:t>. Dz. U. z 2025 r. poz. 296).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0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 (Dz. U. z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2D1EA06B" w14:textId="77777777" w:rsidR="00F63AE9" w:rsidRDefault="00F63AE9" w:rsidP="00F63AE9">
      <w:pPr>
        <w:pStyle w:val="Tekstpodstawowy"/>
        <w:rPr>
          <w:sz w:val="22"/>
          <w:szCs w:val="22"/>
        </w:rPr>
      </w:pPr>
    </w:p>
    <w:p w14:paraId="4A4632FF" w14:textId="77777777" w:rsidR="00966A82" w:rsidRDefault="00966A82" w:rsidP="00F63AE9">
      <w:pPr>
        <w:widowControl w:val="0"/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bCs/>
          <w:sz w:val="22"/>
          <w:szCs w:val="22"/>
          <w:lang w:eastAsia="pl-PL"/>
        </w:rPr>
      </w:pPr>
    </w:p>
    <w:p w14:paraId="04551D83" w14:textId="77777777" w:rsidR="00966A82" w:rsidRDefault="00966A82" w:rsidP="00F63AE9">
      <w:pPr>
        <w:widowControl w:val="0"/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bCs/>
          <w:sz w:val="22"/>
          <w:szCs w:val="22"/>
          <w:lang w:eastAsia="pl-PL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lastRenderedPageBreak/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017705D0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967EE8">
        <w:rPr>
          <w:spacing w:val="-2"/>
          <w:sz w:val="22"/>
          <w:szCs w:val="22"/>
        </w:rPr>
        <w:t xml:space="preserve">do </w:t>
      </w:r>
      <w:r w:rsidR="00A3731D" w:rsidRPr="00967EE8">
        <w:rPr>
          <w:b/>
          <w:spacing w:val="-2"/>
          <w:sz w:val="22"/>
          <w:szCs w:val="22"/>
        </w:rPr>
        <w:t>3</w:t>
      </w:r>
      <w:r w:rsidRPr="00967EE8">
        <w:rPr>
          <w:b/>
          <w:spacing w:val="-2"/>
          <w:sz w:val="22"/>
          <w:szCs w:val="22"/>
        </w:rPr>
        <w:t>0 dni</w:t>
      </w:r>
      <w:r w:rsidRPr="00967EE8">
        <w:rPr>
          <w:spacing w:val="-2"/>
          <w:sz w:val="22"/>
          <w:szCs w:val="22"/>
        </w:rPr>
        <w:t xml:space="preserve"> kalendarzowych 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9" w:history="1">
        <w:r w:rsidR="00134986" w:rsidRPr="00967EE8">
          <w:rPr>
            <w:rStyle w:val="Hipercze"/>
            <w:color w:val="auto"/>
            <w:sz w:val="22"/>
            <w:szCs w:val="22"/>
          </w:rPr>
          <w:t>faktura@wszzkielce.pl</w:t>
        </w:r>
      </w:hyperlink>
    </w:p>
    <w:p w14:paraId="6E785F62" w14:textId="77777777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361C1852" w:rsidR="00A97B26" w:rsidRPr="00963B43" w:rsidRDefault="001C221A" w:rsidP="00963B43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0A80EA1B" w14:textId="1F241746" w:rsidR="001C221A" w:rsidRPr="00753DCE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 xml:space="preserve">W wystawionych fakturach Zamawiający oznaczony będzie jako: </w:t>
      </w:r>
      <w:r w:rsidRPr="00753DCE">
        <w:rPr>
          <w:b/>
          <w:bCs/>
          <w:spacing w:val="-4"/>
          <w:sz w:val="22"/>
          <w:szCs w:val="22"/>
        </w:rPr>
        <w:t>Wojewódzki Szpital Zespolony</w:t>
      </w:r>
      <w:r w:rsidR="00D359EA" w:rsidRPr="00753DCE">
        <w:rPr>
          <w:b/>
          <w:bCs/>
          <w:spacing w:val="-4"/>
          <w:sz w:val="22"/>
          <w:szCs w:val="22"/>
        </w:rPr>
        <w:t xml:space="preserve"> </w:t>
      </w:r>
      <w:r w:rsidR="00753DCE">
        <w:rPr>
          <w:b/>
          <w:bCs/>
          <w:spacing w:val="-4"/>
          <w:sz w:val="22"/>
          <w:szCs w:val="22"/>
        </w:rPr>
        <w:br/>
      </w:r>
      <w:r w:rsidR="00D359EA" w:rsidRPr="00753DCE">
        <w:rPr>
          <w:b/>
          <w:bCs/>
          <w:spacing w:val="-4"/>
          <w:sz w:val="22"/>
          <w:szCs w:val="22"/>
        </w:rPr>
        <w:t>w Kielcach</w:t>
      </w:r>
      <w:r w:rsidRPr="00753DCE">
        <w:rPr>
          <w:b/>
          <w:bCs/>
          <w:spacing w:val="-4"/>
          <w:sz w:val="22"/>
          <w:szCs w:val="22"/>
        </w:rPr>
        <w:t>, 25-736 Kielce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NIP 959-12-91-292</w:t>
      </w:r>
      <w:r w:rsidR="003B4A19">
        <w:rPr>
          <w:b/>
          <w:bCs/>
          <w:spacing w:val="-4"/>
          <w:sz w:val="22"/>
          <w:szCs w:val="22"/>
        </w:rPr>
        <w:t>, nr umowy</w:t>
      </w:r>
      <w:r w:rsidR="006E1625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740A1DF1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3E9E555D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C961DE">
        <w:rPr>
          <w:spacing w:val="-2"/>
          <w:sz w:val="22"/>
          <w:szCs w:val="22"/>
        </w:rPr>
        <w:t xml:space="preserve"> ( Dz. U. z 2025 r., poz. 1071)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265881DB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7F9DA3F0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0452EE65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AC4194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0C7DED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77777777" w:rsidR="00F342AA" w:rsidRPr="00967EE8" w:rsidRDefault="00F342AA" w:rsidP="000C7DED">
      <w:pPr>
        <w:tabs>
          <w:tab w:val="left" w:pos="567"/>
          <w:tab w:val="left" w:pos="851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2.  Łączna maksymalna wysokość kar umownych nie może przekraczać 30 % wartości umowy</w:t>
      </w:r>
    </w:p>
    <w:p w14:paraId="2D747053" w14:textId="3449CC3A" w:rsidR="001C221A" w:rsidRPr="00967EE8" w:rsidRDefault="00F342AA" w:rsidP="000C7DED">
      <w:p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 xml:space="preserve">3. </w:t>
      </w:r>
      <w:r w:rsidR="001C221A" w:rsidRPr="00967EE8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7777777" w:rsidR="008619FC" w:rsidRDefault="00F342AA" w:rsidP="000C7DED">
      <w:p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4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2BD093E3" w:rsidR="001C221A" w:rsidRPr="00967EE8" w:rsidRDefault="000C7DED" w:rsidP="000C7DED">
      <w:pPr>
        <w:tabs>
          <w:tab w:val="left" w:pos="142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1C221A" w:rsidRPr="00967EE8">
        <w:rPr>
          <w:sz w:val="22"/>
          <w:szCs w:val="22"/>
        </w:rPr>
        <w:t xml:space="preserve">Postanowienia umowy dotyczące kar umownych pozostają wiążące dla stron w przypadku </w:t>
      </w:r>
      <w:r w:rsidR="001C221A" w:rsidRPr="00967EE8">
        <w:rPr>
          <w:sz w:val="22"/>
          <w:szCs w:val="22"/>
        </w:rPr>
        <w:br/>
        <w:t>odstąpienia od umowy przez którąkolwiek ze stron.</w:t>
      </w:r>
    </w:p>
    <w:p w14:paraId="7E31316C" w14:textId="77777777" w:rsidR="00F342A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6. </w:t>
      </w:r>
      <w:r w:rsidRPr="00967EE8">
        <w:rPr>
          <w:bCs/>
          <w:sz w:val="22"/>
          <w:szCs w:val="22"/>
        </w:rPr>
        <w:t>Wykonawca</w:t>
      </w:r>
      <w:r w:rsidRPr="00967EE8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967EE8">
        <w:rPr>
          <w:bCs/>
          <w:sz w:val="22"/>
          <w:szCs w:val="22"/>
        </w:rPr>
        <w:t>Zamawiający</w:t>
      </w:r>
      <w:r w:rsidRPr="00967EE8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0257F5BC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>( Dz. U. z 2025 r., poz. 1071)</w:t>
      </w:r>
      <w:r w:rsidR="00C961DE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256FA892" w14:textId="77777777" w:rsidR="00E74008" w:rsidRDefault="00E74008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umowy o którym mowa w </w:t>
      </w:r>
      <w:r w:rsidRPr="002D4C9D">
        <w:rPr>
          <w:b/>
          <w:bCs/>
          <w:sz w:val="22"/>
          <w:szCs w:val="22"/>
        </w:rPr>
        <w:t>§</w:t>
      </w:r>
      <w:r w:rsidRPr="002D4C9D">
        <w:rPr>
          <w:sz w:val="22"/>
          <w:szCs w:val="22"/>
        </w:rPr>
        <w:t xml:space="preserve"> </w:t>
      </w:r>
      <w:r w:rsidR="000E64B9">
        <w:rPr>
          <w:sz w:val="22"/>
          <w:szCs w:val="22"/>
        </w:rPr>
        <w:t>2</w:t>
      </w:r>
      <w:r w:rsidRPr="002D4C9D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31959AC0" w:rsidR="00FB2365" w:rsidRDefault="00FB2365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FB2365">
        <w:rPr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1206), a także z innymi powszechnie obowiązującymi przepisami prawa unijnego i krajowego, które chronią prawa osób, których dane te dotyczą</w:t>
      </w:r>
      <w:r>
        <w:rPr>
          <w:sz w:val="22"/>
          <w:szCs w:val="22"/>
        </w:rPr>
        <w:t>.</w:t>
      </w:r>
    </w:p>
    <w:p w14:paraId="4D782267" w14:textId="01EACC1A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B890" w14:textId="77777777" w:rsidR="007F08B6" w:rsidRDefault="007F08B6">
      <w:r>
        <w:separator/>
      </w:r>
    </w:p>
  </w:endnote>
  <w:endnote w:type="continuationSeparator" w:id="0">
    <w:p w14:paraId="0A7517D8" w14:textId="77777777" w:rsidR="007F08B6" w:rsidRDefault="007F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2FD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222FD8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E323" w14:textId="77777777" w:rsidR="007F08B6" w:rsidRDefault="007F08B6">
      <w:r>
        <w:separator/>
      </w:r>
    </w:p>
  </w:footnote>
  <w:footnote w:type="continuationSeparator" w:id="0">
    <w:p w14:paraId="0D318CC7" w14:textId="77777777" w:rsidR="007F08B6" w:rsidRDefault="007F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8244293">
    <w:abstractNumId w:val="0"/>
  </w:num>
  <w:num w:numId="2" w16cid:durableId="76289937">
    <w:abstractNumId w:val="1"/>
  </w:num>
  <w:num w:numId="3" w16cid:durableId="721290452">
    <w:abstractNumId w:val="2"/>
  </w:num>
  <w:num w:numId="4" w16cid:durableId="787504551">
    <w:abstractNumId w:val="3"/>
  </w:num>
  <w:num w:numId="5" w16cid:durableId="719862217">
    <w:abstractNumId w:val="4"/>
  </w:num>
  <w:num w:numId="6" w16cid:durableId="1439719629">
    <w:abstractNumId w:val="5"/>
  </w:num>
  <w:num w:numId="7" w16cid:durableId="2051883266">
    <w:abstractNumId w:val="6"/>
  </w:num>
  <w:num w:numId="8" w16cid:durableId="979846245">
    <w:abstractNumId w:val="7"/>
  </w:num>
  <w:num w:numId="9" w16cid:durableId="1141576390">
    <w:abstractNumId w:val="8"/>
  </w:num>
  <w:num w:numId="10" w16cid:durableId="209340291">
    <w:abstractNumId w:val="9"/>
  </w:num>
  <w:num w:numId="11" w16cid:durableId="115105617">
    <w:abstractNumId w:val="10"/>
  </w:num>
  <w:num w:numId="12" w16cid:durableId="1223105610">
    <w:abstractNumId w:val="11"/>
  </w:num>
  <w:num w:numId="13" w16cid:durableId="1452899628">
    <w:abstractNumId w:val="12"/>
  </w:num>
  <w:num w:numId="14" w16cid:durableId="124398507">
    <w:abstractNumId w:val="13"/>
  </w:num>
  <w:num w:numId="15" w16cid:durableId="969894503">
    <w:abstractNumId w:val="14"/>
  </w:num>
  <w:num w:numId="16" w16cid:durableId="109712234">
    <w:abstractNumId w:val="15"/>
  </w:num>
  <w:num w:numId="17" w16cid:durableId="1857647539">
    <w:abstractNumId w:val="16"/>
  </w:num>
  <w:num w:numId="18" w16cid:durableId="1371422542">
    <w:abstractNumId w:val="17"/>
  </w:num>
  <w:num w:numId="19" w16cid:durableId="661979188">
    <w:abstractNumId w:val="18"/>
  </w:num>
  <w:num w:numId="20" w16cid:durableId="287010721">
    <w:abstractNumId w:val="41"/>
  </w:num>
  <w:num w:numId="21" w16cid:durableId="1230648757">
    <w:abstractNumId w:val="12"/>
    <w:lvlOverride w:ilvl="0">
      <w:startOverride w:val="1"/>
    </w:lvlOverride>
  </w:num>
  <w:num w:numId="22" w16cid:durableId="1218128156">
    <w:abstractNumId w:val="29"/>
  </w:num>
  <w:num w:numId="23" w16cid:durableId="1420174617">
    <w:abstractNumId w:val="37"/>
  </w:num>
  <w:num w:numId="24" w16cid:durableId="809790924">
    <w:abstractNumId w:val="20"/>
  </w:num>
  <w:num w:numId="25" w16cid:durableId="655492455">
    <w:abstractNumId w:val="42"/>
  </w:num>
  <w:num w:numId="26" w16cid:durableId="1074354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7731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184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922707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85524">
    <w:abstractNumId w:val="19"/>
  </w:num>
  <w:num w:numId="31" w16cid:durableId="945648972">
    <w:abstractNumId w:val="31"/>
  </w:num>
  <w:num w:numId="32" w16cid:durableId="828643545">
    <w:abstractNumId w:val="35"/>
  </w:num>
  <w:num w:numId="33" w16cid:durableId="231504100">
    <w:abstractNumId w:val="24"/>
  </w:num>
  <w:num w:numId="34" w16cid:durableId="149564416">
    <w:abstractNumId w:val="25"/>
  </w:num>
  <w:num w:numId="35" w16cid:durableId="998197418">
    <w:abstractNumId w:val="38"/>
  </w:num>
  <w:num w:numId="36" w16cid:durableId="1508596329">
    <w:abstractNumId w:val="26"/>
  </w:num>
  <w:num w:numId="37" w16cid:durableId="758869329">
    <w:abstractNumId w:val="33"/>
  </w:num>
  <w:num w:numId="38" w16cid:durableId="5251411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7858934">
    <w:abstractNumId w:val="23"/>
    <w:lvlOverride w:ilvl="0">
      <w:startOverride w:val="1"/>
    </w:lvlOverride>
  </w:num>
  <w:num w:numId="40" w16cid:durableId="2079328762">
    <w:abstractNumId w:val="1"/>
    <w:lvlOverride w:ilvl="0">
      <w:startOverride w:val="1"/>
    </w:lvlOverride>
  </w:num>
  <w:num w:numId="41" w16cid:durableId="902446216">
    <w:abstractNumId w:val="39"/>
  </w:num>
  <w:num w:numId="42" w16cid:durableId="2135981424">
    <w:abstractNumId w:val="34"/>
  </w:num>
  <w:num w:numId="43" w16cid:durableId="2118939977">
    <w:abstractNumId w:val="43"/>
  </w:num>
  <w:num w:numId="44" w16cid:durableId="840703228">
    <w:abstractNumId w:val="21"/>
  </w:num>
  <w:num w:numId="45" w16cid:durableId="724261306">
    <w:abstractNumId w:val="40"/>
  </w:num>
  <w:num w:numId="46" w16cid:durableId="1961373418">
    <w:abstractNumId w:val="22"/>
  </w:num>
  <w:num w:numId="47" w16cid:durableId="1556308530">
    <w:abstractNumId w:val="23"/>
  </w:num>
  <w:num w:numId="48" w16cid:durableId="1172989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127388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5CFD"/>
    <w:rsid w:val="00102403"/>
    <w:rsid w:val="00104DE1"/>
    <w:rsid w:val="00114D7F"/>
    <w:rsid w:val="001151C6"/>
    <w:rsid w:val="00116AE7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82B69"/>
    <w:rsid w:val="005845F4"/>
    <w:rsid w:val="0058667D"/>
    <w:rsid w:val="00591F19"/>
    <w:rsid w:val="005951EF"/>
    <w:rsid w:val="005A2C48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57EF7"/>
    <w:rsid w:val="00660343"/>
    <w:rsid w:val="00660A7A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35324"/>
    <w:rsid w:val="0074370C"/>
    <w:rsid w:val="00746FCE"/>
    <w:rsid w:val="00753DCE"/>
    <w:rsid w:val="00763D01"/>
    <w:rsid w:val="007644FE"/>
    <w:rsid w:val="00775F72"/>
    <w:rsid w:val="0078604D"/>
    <w:rsid w:val="00787833"/>
    <w:rsid w:val="007937E2"/>
    <w:rsid w:val="00794202"/>
    <w:rsid w:val="0079477B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5443"/>
    <w:rsid w:val="00887EA6"/>
    <w:rsid w:val="0089374A"/>
    <w:rsid w:val="008A1D6A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5953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53E1"/>
    <w:rsid w:val="00A30662"/>
    <w:rsid w:val="00A3731D"/>
    <w:rsid w:val="00A60E83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A2EDE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5CA7"/>
    <w:rsid w:val="00EB3D1A"/>
    <w:rsid w:val="00EB4411"/>
    <w:rsid w:val="00EB70BA"/>
    <w:rsid w:val="00EB7B72"/>
    <w:rsid w:val="00EC0331"/>
    <w:rsid w:val="00ED1DEA"/>
    <w:rsid w:val="00EF2967"/>
    <w:rsid w:val="00F015FD"/>
    <w:rsid w:val="00F01C2B"/>
    <w:rsid w:val="00F03C56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417E-B30E-4B58-8B86-CB841BC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2390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20</cp:revision>
  <cp:lastPrinted>2026-01-07T11:07:00Z</cp:lastPrinted>
  <dcterms:created xsi:type="dcterms:W3CDTF">2025-11-21T11:05:00Z</dcterms:created>
  <dcterms:modified xsi:type="dcterms:W3CDTF">2026-01-07T11:10:00Z</dcterms:modified>
</cp:coreProperties>
</file>