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AA355B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EZ/128</w:t>
      </w:r>
      <w:r w:rsidR="00A219EC">
        <w:rPr>
          <w:b/>
          <w:bCs/>
          <w:sz w:val="22"/>
          <w:szCs w:val="22"/>
          <w:lang w:eastAsia="zh-CN"/>
        </w:rPr>
        <w:t>/2026/</w:t>
      </w:r>
      <w:proofErr w:type="gramStart"/>
      <w:r w:rsidR="00A219EC">
        <w:rPr>
          <w:b/>
          <w:bCs/>
          <w:sz w:val="22"/>
          <w:szCs w:val="22"/>
          <w:lang w:eastAsia="zh-CN"/>
        </w:rPr>
        <w:t xml:space="preserve">MK                                                  </w:t>
      </w:r>
      <w:proofErr w:type="gramEnd"/>
      <w:r w:rsidR="00A219EC">
        <w:rPr>
          <w:b/>
          <w:bCs/>
          <w:sz w:val="22"/>
          <w:szCs w:val="22"/>
          <w:lang w:eastAsia="zh-CN"/>
        </w:rPr>
        <w:t xml:space="preserve">                      </w:t>
      </w:r>
      <w:r>
        <w:rPr>
          <w:b/>
          <w:bCs/>
          <w:sz w:val="22"/>
          <w:szCs w:val="22"/>
          <w:lang w:eastAsia="zh-CN"/>
        </w:rPr>
        <w:t xml:space="preserve">                  Załącznik nr 2.2 do Zaproszenia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0" w:name="_Hlk78802371"/>
      <w:bookmarkEnd w:id="0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4399"/>
        <w:gridCol w:w="1418"/>
        <w:gridCol w:w="2977"/>
      </w:tblGrid>
      <w:tr w:rsidR="003C742B" w:rsidTr="00F01BC5">
        <w:trPr>
          <w:cantSplit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  <w:p w:rsidR="00916FDA" w:rsidRDefault="00AA355B" w:rsidP="00916FDA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Pakiet 2</w:t>
            </w:r>
            <w:r w:rsidR="00916FDA" w:rsidRPr="00916FDA">
              <w:rPr>
                <w:b/>
                <w:bCs/>
                <w:sz w:val="22"/>
                <w:szCs w:val="22"/>
                <w:lang w:eastAsia="zh-CN"/>
              </w:rPr>
              <w:t>-</w:t>
            </w:r>
            <w:r>
              <w:rPr>
                <w:b/>
                <w:bCs/>
                <w:sz w:val="22"/>
                <w:szCs w:val="22"/>
                <w:lang w:eastAsia="zh-CN"/>
              </w:rPr>
              <w:t xml:space="preserve">Łóżko sterowane w barierkach (2 </w:t>
            </w:r>
            <w:proofErr w:type="spellStart"/>
            <w:r>
              <w:rPr>
                <w:b/>
                <w:bCs/>
                <w:sz w:val="22"/>
                <w:szCs w:val="22"/>
                <w:lang w:eastAsia="zh-CN"/>
              </w:rPr>
              <w:t>kpl</w:t>
            </w:r>
            <w:proofErr w:type="spellEnd"/>
            <w:r>
              <w:rPr>
                <w:b/>
                <w:bCs/>
                <w:sz w:val="22"/>
                <w:szCs w:val="22"/>
                <w:lang w:eastAsia="zh-CN"/>
              </w:rPr>
              <w:t>.)</w:t>
            </w:r>
          </w:p>
          <w:p w:rsidR="003C742B" w:rsidRDefault="003C742B" w:rsidP="00916FDA">
            <w:pPr>
              <w:pStyle w:val="Domylnie"/>
              <w:widowControl w:val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63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70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569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916FDA">
        <w:trPr>
          <w:cantSplit/>
          <w:trHeight w:val="691"/>
          <w:jc w:val="center"/>
        </w:trPr>
        <w:tc>
          <w:tcPr>
            <w:tcW w:w="6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4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1" w:name="_Hlk78802432"/>
            <w:bookmarkEnd w:id="1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9401F1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Długość łóżka max. 216,5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491AE4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Szerokość łóżka max. 100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491AE4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Łóżko wyposażone w akumulator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491AE4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Regulacja wysokości leża w zakresie min. 39,7 – 76,8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 xml:space="preserve">TAK, podać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966C19" w:rsidRDefault="00A219EC" w:rsidP="00A21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Konstrukcja łóżka wykonana ze stali węglowej lakierowanej proszkowo. Leże podzielone na min. 4 </w:t>
            </w:r>
            <w:proofErr w:type="gramStart"/>
            <w:r>
              <w:rPr>
                <w:sz w:val="22"/>
                <w:szCs w:val="22"/>
              </w:rPr>
              <w:t>segmenty z czego</w:t>
            </w:r>
            <w:proofErr w:type="gramEnd"/>
            <w:r>
              <w:rPr>
                <w:sz w:val="22"/>
                <w:szCs w:val="22"/>
              </w:rPr>
              <w:t xml:space="preserve"> 3 ruchome. Segmenty leża wypełnione płytami lub lamelami. Konstrukcja zapewniająca prześwit min. 20, cm pod łóżkiem w każdym punkcje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00668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491AE4" w:rsidRDefault="00A219EC" w:rsidP="00A21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Tworzywowe, regulowane klamry obejmujące materac, po każdej ze stron, zapobiegające przesuwaniu się materaca po płycie leża i ograniczają ryzyko zakleszczenia się pacjenta między materacem a barierkami bocznymi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5E4C49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Elektryczna regulacja segmentu oparcia pleców ze zintegrowaną, zaawansowaną funkcją </w:t>
            </w:r>
            <w:proofErr w:type="spellStart"/>
            <w:r>
              <w:rPr>
                <w:rFonts w:ascii="Times New Roman" w:hAnsi="Times New Roman"/>
              </w:rPr>
              <w:t>autokontur</w:t>
            </w:r>
            <w:proofErr w:type="spellEnd"/>
            <w:r>
              <w:rPr>
                <w:rFonts w:ascii="Times New Roman" w:hAnsi="Times New Roman"/>
              </w:rPr>
              <w:t xml:space="preserve">. Podnoszenie (lub opuszczanie) sekcji kolan, z 5 sekundowym opóźnieniem, w celu regulacji kąta nachylenia segmentu oparcia w stosunku do segmentu ud. Brak wydzielonych przycisków do regulacji funkcji </w:t>
            </w:r>
            <w:proofErr w:type="spellStart"/>
            <w:r>
              <w:rPr>
                <w:rFonts w:ascii="Times New Roman" w:hAnsi="Times New Roman"/>
              </w:rPr>
              <w:t>autokontur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0C188B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regulacji kąt nachylenia segmentu oparcia pleców w stosunku do poziomu ram leża min. 0-65°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C46A11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Elektryczna regulacja segmentu uda wraz </w:t>
            </w:r>
            <w:proofErr w:type="spellStart"/>
            <w:r>
              <w:rPr>
                <w:rFonts w:ascii="Times New Roman" w:hAnsi="Times New Roman"/>
              </w:rPr>
              <w:t>autokontur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000000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EC" w:rsidRPr="006200A4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Zakres regulacji segmentu uda w stosunku do poziomu ramy leż min. 0-28°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E4713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E4713">
              <w:rPr>
                <w:rFonts w:ascii="Times New Roman" w:hAnsi="Times New Roman"/>
                <w:color w:val="000000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E4713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Manualna regulacja segmentu podudzia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Elektryczna regulacja pozycji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i anty-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 Pozycja dostępna po naciśnięciu jednego przycisku.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Zakres regulacji pozycji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i anty-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Trendelenburga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min. (-17°) – (+17°)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115EF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Sterowanie funkcjami elektrycznymi ze sterowników wbudowanych w barierki boczne. Wszystkie przyciski membranowe, wodoodporne.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Możliwość blokady funkcji elektrycznych łóżka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C46ECD">
              <w:rPr>
                <w:sz w:val="22"/>
                <w:szCs w:val="22"/>
              </w:rPr>
              <w:t>16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4 pojedyncze kółka antystatyczne 150 mm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Centralna blokada wszystkich kół jednocześnie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Koło sterujące pod segmentem oparcia.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Manualna funkcja CPR umożliwiająca natychmiastowe opuszczenie segmentu oparcia, dostępna z obu stron łóżka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Łóżko wyposażone w cztery dzielone, tworzywowe barierki zintegrowanymi uchwytami ułatwiającymi wyjście pacjenta. Aktywacja ruchu barierki przy użyciu jednej ręki. Wbudowane w barierki wizualne wskaźniki kąta nachylenia segmentu oparcia z zaznaczeniem kąta 30° i 45° oraz kąta nachylenia ramy łóżka dla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terpii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ułożeniowej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 Wskaźniki widoczne od pozycji barierek.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Konstrukcja barierek bocznych z jednostkowym mechanizmem opuszczania, umożliwiająca ich złożenie przy użyciu jednej ręki. Barierki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służą jako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podparcie podczas wychodzenia pacjenta z łózka. Barierki boczne łatwe w dezynfekcji spełniające nową normę EN 60601-2-52 z wbudowanymi panelami sterowania oraz uchwytem gwarantującym pewną i stabilną podporę podczas wstawania lub transferu na krzesło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Przestrzeń niezbędna na opuszczenie/podniesienie barierek bocznych – 40 mm z każdej strony łóżka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Wysokość barierek bocznych min. 39,3 cm.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Szczyty łóżka zapewniającą ich stabilność podczas transportu wykonane z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wysokiej jakości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tworzywa.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Odbojnik w 4 narożnikach łóżka.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46ECD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4 gniazda na statywy infuzyjne.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Bezpieczne obciążenie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robocz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220 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  <w:r w:rsidRPr="00C46EC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Zasilanie elektryczne 220-240 V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;60Hz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>/ 50Hz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TAK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241893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241893" w:rsidRDefault="00241893" w:rsidP="00241893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 w:rsidRPr="00241893">
              <w:rPr>
                <w:rFonts w:ascii="Times New Roman" w:hAnsi="Times New Roman"/>
                <w:color w:val="auto"/>
                <w:lang w:eastAsia="pl-PL"/>
              </w:rPr>
              <w:t>M</w:t>
            </w:r>
            <w:r w:rsidR="00A219EC" w:rsidRPr="00241893">
              <w:rPr>
                <w:rFonts w:ascii="Times New Roman" w:hAnsi="Times New Roman"/>
                <w:color w:val="auto"/>
                <w:lang w:eastAsia="pl-PL"/>
              </w:rPr>
              <w:t>ożliwość czyszczenia parowego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241893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41893">
              <w:rPr>
                <w:color w:val="000000"/>
                <w:sz w:val="22"/>
              </w:rPr>
              <w:t>T</w:t>
            </w:r>
            <w:r w:rsidR="00241893" w:rsidRPr="00241893">
              <w:rPr>
                <w:color w:val="000000"/>
                <w:sz w:val="22"/>
              </w:rPr>
              <w:t>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671869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Odporność powierzchni łózka wraz z barierkami na środki myjące, dezynfekujące oraz odporność na dekontaminację za pomocą 35%H2o₂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Materac z pianki wysokoplastycznej, przewidziany do profilaktyki i zapobiegania odleżyn u pacjentów dorosłych niskiego i średniego ryzyka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Waga materaca z pianki wysokoplastycznej 10 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Materac z pianki wysokoplastycznej wyposażony w 3 sekcje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Boki materaca wykonane z pianki o wysokiej gęstości zapewniające bezpieczeństwo pacjentów i ułatwiające im schodzeni z łóżka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Materac z pianki wysokoplastycznej, wyposażony w wodoszczelny, przepuszczający parę wodną poliuretanowy pokrowiec o właściwościach bakteriobójczych 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grzybostatycznych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Krawędzie pokrowca materaca zgrzewane.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Materac z pianki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wysokplastycznej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przepuszczający promienie RTG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Gęstość pianki materaca z pianki wysokoplastycznej w </w:t>
            </w:r>
            <w:proofErr w:type="spellStart"/>
            <w:r>
              <w:rPr>
                <w:rFonts w:ascii="Times New Roman" w:hAnsi="Times New Roman"/>
                <w:color w:val="auto"/>
                <w:lang w:eastAsia="pl-PL"/>
              </w:rPr>
              <w:t>stefie</w:t>
            </w:r>
            <w:proofErr w:type="spellEnd"/>
            <w:r>
              <w:rPr>
                <w:rFonts w:ascii="Times New Roman" w:hAnsi="Times New Roman"/>
                <w:color w:val="auto"/>
                <w:lang w:eastAsia="pl-PL"/>
              </w:rPr>
              <w:t xml:space="preserve"> tułowia i głowy 40 kg/m³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46ECD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Kształt kostek, materaca z pianki wysokoplas</w:t>
            </w:r>
            <w:r w:rsidR="00E663D4">
              <w:rPr>
                <w:rFonts w:ascii="Times New Roman" w:hAnsi="Times New Roman"/>
                <w:color w:val="auto"/>
                <w:lang w:eastAsia="pl-PL"/>
              </w:rPr>
              <w:t>t</w:t>
            </w:r>
            <w:r>
              <w:rPr>
                <w:rFonts w:ascii="Times New Roman" w:hAnsi="Times New Roman"/>
                <w:color w:val="auto"/>
                <w:lang w:eastAsia="pl-PL"/>
              </w:rPr>
              <w:t>ycznej umożliwiający przepływ powietrza pod powierzchnią materaca z strefą pięt z pianki o niższej gęstości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Wysokość materaca z pianki wysokoplastycznej 14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Materac z pianki wysokoplastycznej nie zawierający lateksu, nośność masy pacjenta zapewniająca właściwości prewencyjne 150 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00668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Materac o konstrukcji ułatwiającej zakładanie i zdejmowanie pościeli z tzw. Ściętymi narożnikami – parametry ścięcia narożnika to 140 mm od krawędzi materaca po długość – długi bok materaca i 75 mm od krawędzi materaca po szerokość – krótki bok materaca.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D44CC9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CC9">
              <w:rPr>
                <w:color w:val="000000"/>
                <w:sz w:val="22"/>
                <w:szCs w:val="22"/>
              </w:rPr>
              <w:t>TAK</w:t>
            </w:r>
            <w:r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 xml:space="preserve">Dolna część materaca – podstawy piankowej </w:t>
            </w:r>
            <w:proofErr w:type="gramStart"/>
            <w:r>
              <w:rPr>
                <w:rFonts w:ascii="Times New Roman" w:hAnsi="Times New Roman"/>
                <w:color w:val="auto"/>
                <w:lang w:eastAsia="pl-PL"/>
              </w:rPr>
              <w:t>z  nacięciami</w:t>
            </w:r>
            <w:proofErr w:type="gramEnd"/>
            <w:r>
              <w:rPr>
                <w:rFonts w:ascii="Times New Roman" w:hAnsi="Times New Roman"/>
                <w:color w:val="auto"/>
                <w:lang w:eastAsia="pl-PL"/>
              </w:rPr>
              <w:t xml:space="preserve"> zlokalizowana w strefie bioder materaca, ułatwiającymi dopasowanie się materaca do funkcji motorycznych łóżka w tym w szczególności tzw. funkcji autoregresji segmentu oparcia pleców – cofanie się segmentu oparcia w  kierunku szczytu od strony głowy.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Bezpieczne obciążenie robocze min. 205 kg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C46ECD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Długość materaca 198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37443A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15EFC">
              <w:rPr>
                <w:color w:val="000000"/>
                <w:sz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DA26E0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EC" w:rsidRPr="004E1F0F" w:rsidRDefault="00A219EC" w:rsidP="00A219EC">
            <w:pPr>
              <w:pStyle w:val="Domylnie"/>
              <w:spacing w:after="0" w:line="240" w:lineRule="auto"/>
              <w:rPr>
                <w:rFonts w:ascii="Times New Roman" w:hAnsi="Times New Roman"/>
                <w:color w:val="auto"/>
                <w:lang w:eastAsia="pl-PL"/>
              </w:rPr>
            </w:pPr>
            <w:r>
              <w:rPr>
                <w:rFonts w:ascii="Times New Roman" w:hAnsi="Times New Roman"/>
                <w:color w:val="auto"/>
                <w:lang w:eastAsia="pl-PL"/>
              </w:rPr>
              <w:t>Szerokość materaca 90 cm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DA26E0">
        <w:trPr>
          <w:cantSplit/>
          <w:trHeight w:val="597"/>
          <w:jc w:val="center"/>
        </w:trPr>
        <w:tc>
          <w:tcPr>
            <w:tcW w:w="949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>Pozostałe warunki dla wszystkich urządzeń</w:t>
            </w: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F64C04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F64C04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F64C04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Szkolenie w zakresie obsługi urządzenia w siedzibie Zamawiającego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971FD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971FD" w:rsidRDefault="00F971FD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FD" w:rsidRPr="000B4A3D" w:rsidRDefault="00F971FD" w:rsidP="00F971FD">
            <w:pPr>
              <w:pStyle w:val="Domylnie"/>
              <w:spacing w:line="240" w:lineRule="auto"/>
              <w:rPr>
                <w:rFonts w:ascii="Times New Roman" w:hAnsi="Times New Roman"/>
              </w:rPr>
            </w:pPr>
            <w:r w:rsidRPr="000B4A3D">
              <w:rPr>
                <w:rFonts w:ascii="Times New Roman" w:hAnsi="Times New Roman"/>
              </w:rPr>
              <w:t xml:space="preserve">Przedmiot umowy jest </w:t>
            </w:r>
            <w:r w:rsidRPr="000B4A3D">
              <w:rPr>
                <w:rFonts w:ascii="Times New Roman" w:hAnsi="Times New Roman"/>
                <w:b/>
                <w:bCs/>
              </w:rPr>
              <w:t>wyrobem medycznym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w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</w:rPr>
              <w:t>rozumieniu</w:t>
            </w:r>
            <w:r w:rsidRPr="000B4A3D">
              <w:rPr>
                <w:rFonts w:ascii="Times New Roman" w:hAnsi="Times New Roman"/>
                <w:b/>
              </w:rPr>
              <w:t xml:space="preserve"> </w:t>
            </w:r>
            <w:r w:rsidRPr="000B4A3D">
              <w:rPr>
                <w:rFonts w:ascii="Times New Roman" w:hAnsi="Times New Roman"/>
                <w:b/>
                <w:bCs/>
              </w:rPr>
              <w:t>ustawy z dnia 7 kwietnia 2022 r. o wyrobach medycznych</w:t>
            </w:r>
            <w:r w:rsidRPr="000B4A3D">
              <w:rPr>
                <w:rFonts w:ascii="Times New Roman" w:hAnsi="Times New Roman"/>
              </w:rPr>
              <w:t xml:space="preserve"> (Dz.U. 2024 </w:t>
            </w:r>
            <w:proofErr w:type="gramStart"/>
            <w:r w:rsidRPr="000B4A3D">
              <w:rPr>
                <w:rFonts w:ascii="Times New Roman" w:hAnsi="Times New Roman"/>
              </w:rPr>
              <w:t>poz</w:t>
            </w:r>
            <w:proofErr w:type="gramEnd"/>
            <w:r w:rsidRPr="000B4A3D">
              <w:rPr>
                <w:rFonts w:ascii="Times New Roman" w:hAnsi="Times New Roman"/>
              </w:rPr>
              <w:t>. 1620)</w:t>
            </w:r>
            <w:r w:rsidRPr="000B4A3D">
              <w:rPr>
                <w:rFonts w:ascii="Times New Roman" w:hAnsi="Times New Roman"/>
                <w:bCs/>
                <w:iCs/>
              </w:rPr>
              <w:t xml:space="preserve"> oraz Rozporządzenia Parlamentu Europejskiego i Rady (UE) 2017/745 z dnia 5 kwietnia 2017 r. w sprawie wyrobów medycznych.</w:t>
            </w:r>
          </w:p>
          <w:p w:rsidR="00F971FD" w:rsidRDefault="00F971FD" w:rsidP="00F971FD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u w:val="single"/>
              </w:rPr>
            </w:pP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W przypadku, gdy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komponenty, akcesoria lub elementy zestawu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nie stanowią wyrobu medycznego w rozumieniu ww. ustawy,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Wykonawca zobowiązany jest do przedłożenia stosownego oświadczenia</w:t>
            </w:r>
            <w:r w:rsidRPr="00CB57D9">
              <w:rPr>
                <w:rFonts w:ascii="Times New Roman" w:hAnsi="Times New Roman"/>
                <w:color w:val="auto"/>
                <w:u w:val="single"/>
              </w:rPr>
              <w:t xml:space="preserve"> wskazując, </w:t>
            </w:r>
            <w:r w:rsidRPr="00CB57D9">
              <w:rPr>
                <w:rFonts w:ascii="Times New Roman" w:hAnsi="Times New Roman"/>
                <w:bCs/>
                <w:color w:val="auto"/>
                <w:u w:val="single"/>
              </w:rPr>
              <w:t>które elementy nie są wyrobami medycznymi</w:t>
            </w:r>
          </w:p>
          <w:p w:rsidR="00F971FD" w:rsidRDefault="00F971FD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971FD" w:rsidRDefault="00F971FD" w:rsidP="00A219E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971FD" w:rsidRDefault="00F971FD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0B4A3D">
              <w:rPr>
                <w:rFonts w:ascii="Times New Roman" w:hAnsi="Times New Roman"/>
                <w:i/>
                <w:iCs/>
                <w:color w:val="auto"/>
                <w:sz w:val="20"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  <w:tr w:rsidR="00A219EC" w:rsidTr="00A219EC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Default="00F64C04" w:rsidP="00A219EC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971FD">
              <w:rPr>
                <w:sz w:val="22"/>
                <w:szCs w:val="22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A219EC" w:rsidRPr="00916FDA" w:rsidRDefault="00A219EC" w:rsidP="00A219EC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A219EC" w:rsidRDefault="00A219EC" w:rsidP="00A219EC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64C04" w:rsidRPr="00F64C04" w:rsidRDefault="00F64C04" w:rsidP="00F64C04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bookmarkStart w:id="2" w:name="_Hlk78802960"/>
            <w:bookmarkEnd w:id="2"/>
            <w:r w:rsidRPr="00F64C04">
              <w:rPr>
                <w:rFonts w:ascii="Times New Roman" w:hAnsi="Times New Roman"/>
                <w:b/>
                <w:bCs/>
              </w:rPr>
              <w:t>TAK 24 miesiące gwarancji</w:t>
            </w:r>
          </w:p>
          <w:p w:rsidR="00A219EC" w:rsidRDefault="00A219EC" w:rsidP="00A219EC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</w:tbl>
    <w:p w:rsidR="00671869" w:rsidRDefault="00671869">
      <w:pPr>
        <w:pStyle w:val="Lista"/>
        <w:spacing w:line="240" w:lineRule="auto"/>
        <w:ind w:left="-176" w:hanging="181"/>
        <w:jc w:val="both"/>
        <w:rPr>
          <w:rFonts w:cs="Times New Roman"/>
          <w:color w:val="auto"/>
          <w:sz w:val="22"/>
          <w:szCs w:val="22"/>
        </w:rPr>
      </w:pPr>
    </w:p>
    <w:p w:rsidR="005550DF" w:rsidRDefault="005550DF">
      <w:pPr>
        <w:pStyle w:val="Lista"/>
        <w:spacing w:line="240" w:lineRule="auto"/>
        <w:ind w:left="-176" w:hanging="181"/>
        <w:jc w:val="both"/>
        <w:rPr>
          <w:rFonts w:cs="Times New Roman"/>
          <w:color w:val="auto"/>
          <w:sz w:val="22"/>
          <w:szCs w:val="22"/>
        </w:rPr>
      </w:pPr>
    </w:p>
    <w:p w:rsidR="005550DF" w:rsidRDefault="005550DF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48" w:rsidRDefault="00242A48">
      <w:r>
        <w:separator/>
      </w:r>
    </w:p>
  </w:endnote>
  <w:endnote w:type="continuationSeparator" w:id="0">
    <w:p w:rsidR="00242A48" w:rsidRDefault="0024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FD" w:rsidRDefault="00F971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971FD">
          <w:rPr>
            <w:noProof/>
          </w:rPr>
          <w:t>4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FD" w:rsidRDefault="00F971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48" w:rsidRDefault="00242A48">
      <w:r>
        <w:separator/>
      </w:r>
    </w:p>
  </w:footnote>
  <w:footnote w:type="continuationSeparator" w:id="0">
    <w:p w:rsidR="00242A48" w:rsidRDefault="00242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FD" w:rsidRDefault="00F971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55B" w:rsidRPr="00AA355B" w:rsidRDefault="00AA355B" w:rsidP="00AA355B">
    <w:pPr>
      <w:tabs>
        <w:tab w:val="left" w:pos="567"/>
        <w:tab w:val="left" w:pos="629"/>
      </w:tabs>
      <w:suppressAutoHyphens w:val="0"/>
      <w:jc w:val="center"/>
      <w:textAlignment w:val="auto"/>
      <w:rPr>
        <w:i/>
        <w:sz w:val="24"/>
        <w:szCs w:val="24"/>
      </w:rPr>
    </w:pPr>
    <w:bookmarkStart w:id="3" w:name="_GoBack"/>
    <w:r w:rsidRPr="00AA355B">
      <w:rPr>
        <w:b/>
        <w:i/>
        <w:kern w:val="2"/>
        <w:sz w:val="16"/>
        <w:szCs w:val="16"/>
      </w:rPr>
      <w:t xml:space="preserve">Zakup i dostawa sprzętu medycznego do Kliniki Położnictwa i Ginekologii Wojewódzkiego Szpitala Zespolonego w Kielcach </w:t>
    </w:r>
    <w:r w:rsidRPr="00AA355B">
      <w:rPr>
        <w:bCs/>
        <w:i/>
        <w:kern w:val="2"/>
        <w:sz w:val="16"/>
        <w:szCs w:val="16"/>
      </w:rPr>
      <w:t>w ramach programu „Dostępna przestrzeń publiczna” projektu pod nazwą: „Doposażenie Kliniki Położnictwa i Ginekologii Wojewódzkiego Szpitala Zespolonego w Kielcach w sprzęt wspomagający na potrzeby osób z niepełnosprawnościami”</w:t>
    </w:r>
  </w:p>
  <w:bookmarkEnd w:id="3"/>
  <w:p w:rsidR="005550DF" w:rsidRDefault="005550D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FD" w:rsidRDefault="00F971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50BE"/>
    <w:rsid w:val="00026E01"/>
    <w:rsid w:val="000625B6"/>
    <w:rsid w:val="0009072E"/>
    <w:rsid w:val="00115EFC"/>
    <w:rsid w:val="00215984"/>
    <w:rsid w:val="00230613"/>
    <w:rsid w:val="00241893"/>
    <w:rsid w:val="00242A48"/>
    <w:rsid w:val="002C7E55"/>
    <w:rsid w:val="002E376F"/>
    <w:rsid w:val="0034456A"/>
    <w:rsid w:val="0037443A"/>
    <w:rsid w:val="003C742B"/>
    <w:rsid w:val="00437503"/>
    <w:rsid w:val="0048185C"/>
    <w:rsid w:val="00493636"/>
    <w:rsid w:val="004D427D"/>
    <w:rsid w:val="00502142"/>
    <w:rsid w:val="005550DF"/>
    <w:rsid w:val="00562910"/>
    <w:rsid w:val="0062723B"/>
    <w:rsid w:val="00671869"/>
    <w:rsid w:val="006A1225"/>
    <w:rsid w:val="007A4009"/>
    <w:rsid w:val="0084507E"/>
    <w:rsid w:val="00872C3A"/>
    <w:rsid w:val="008732BC"/>
    <w:rsid w:val="00916FDA"/>
    <w:rsid w:val="009A1B7F"/>
    <w:rsid w:val="00A219EC"/>
    <w:rsid w:val="00AA355B"/>
    <w:rsid w:val="00C46ECD"/>
    <w:rsid w:val="00C93CE7"/>
    <w:rsid w:val="00CF4176"/>
    <w:rsid w:val="00D00668"/>
    <w:rsid w:val="00D44CC9"/>
    <w:rsid w:val="00DA26E0"/>
    <w:rsid w:val="00DA6728"/>
    <w:rsid w:val="00DE4713"/>
    <w:rsid w:val="00E663D4"/>
    <w:rsid w:val="00E7354D"/>
    <w:rsid w:val="00E81420"/>
    <w:rsid w:val="00F35205"/>
    <w:rsid w:val="00F64C04"/>
    <w:rsid w:val="00F77D0E"/>
    <w:rsid w:val="00F971FD"/>
    <w:rsid w:val="00FC10DA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C5D2-A723-457D-A088-176A76EF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1077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34</cp:revision>
  <cp:lastPrinted>2026-05-29T10:39:00Z</cp:lastPrinted>
  <dcterms:created xsi:type="dcterms:W3CDTF">2025-12-03T13:31:00Z</dcterms:created>
  <dcterms:modified xsi:type="dcterms:W3CDTF">2026-05-29T10:46:00Z</dcterms:modified>
  <dc:language>pl-PL</dc:language>
</cp:coreProperties>
</file>