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 xml:space="preserve">/2026/MK                                                                                                        </w:t>
      </w:r>
      <w:r w:rsidR="001850CF">
        <w:rPr>
          <w:b/>
          <w:bCs/>
          <w:sz w:val="22"/>
          <w:szCs w:val="22"/>
          <w:lang w:eastAsia="zh-CN"/>
        </w:rPr>
        <w:t>Załącznik nr 2.6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1850CF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6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Aparat EKG 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(2</w:t>
            </w:r>
            <w:r w:rsidR="003C0D27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Dotykowy ekran min. 12,1 cali True Color (24 bpp 16.7 M kolorów) o rozdzielczości 1280 x 800 px.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Trzy systemy oszczędzania energii (możliwość ich dezaktywowania):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przejścia w tryb czuwania po czasie: 5, 10, 30, 60 minut.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automatycznego wyłączenia urządzenia po upływie: 1, 2, 4 godz. bezczynności.</w:t>
            </w:r>
          </w:p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Płynna możliwość regulacji jasności wyświetlacza przy pomocy suwaka (nieskokowa).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jc w:val="both"/>
              <w:rPr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Zarządzanie ustawieniami aparatu oparte na menu bocznym. Poszczególne kategorie umieszczone w formie listy po lewej stronie ekranu. Po prawej stronie ekranu okno z zarządzaniem poszczególnymi ustawieniami.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ustawienia motywu jasny lub ciemny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Ekranowy asystent rozmieszczenia elektrod z graficznym wskazaniem jakości sygnału wraz z funkcją wykrywania i wskazywania: odłączonych odprowadzeń oraz luźnych elektrod.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Klawiatura ekranowa na panelu dotykowym - QWERTY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253764">
            <w:pPr>
              <w:jc w:val="center"/>
              <w:rPr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DE4713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Trzy systemy sygnalizowania niskiego poziomu naładowania akumulatora za pomocą: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sygnału dźwiękowego,</w:t>
            </w:r>
          </w:p>
          <w:p w:rsidR="001850CF" w:rsidRDefault="001850CF" w:rsidP="001850CF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ikony na wyświetlaczu,</w:t>
            </w:r>
          </w:p>
          <w:p w:rsidR="001850CF" w:rsidRPr="00302ED6" w:rsidRDefault="001850CF" w:rsidP="00302ED6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02ED6">
              <w:rPr>
                <w:kern w:val="2"/>
                <w:sz w:val="22"/>
                <w:szCs w:val="22"/>
                <w14:ligatures w14:val="standardContextual"/>
              </w:rPr>
              <w:t>diody LED.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Taca na papier mieszcząca 42 metry bieżące papieru w jednym arkuszu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Funkcja wykrywania braku papieru w drukarce termicznej: Alarm dźwiękowy i komunikat na ekranie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Kompatybilność wbudowanej drukarki z papierem termicznym w formie papieru perforowanego składanego o wymiarach:</w:t>
            </w:r>
          </w:p>
          <w:p w:rsidR="001850CF" w:rsidRPr="001850CF" w:rsidRDefault="001850CF" w:rsidP="001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Długość 280 mm ± 0.2 m;</w:t>
            </w:r>
          </w:p>
          <w:p w:rsidR="001850CF" w:rsidRPr="001850CF" w:rsidRDefault="001850CF" w:rsidP="001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Szerokość 210 mm ± 0.5 mm;</w:t>
            </w:r>
          </w:p>
          <w:p w:rsidR="001850CF" w:rsidRPr="001850CF" w:rsidRDefault="00302ED6" w:rsidP="001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o</w:t>
            </w:r>
            <w:r w:rsidR="001850CF"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raz</w:t>
            </w:r>
          </w:p>
          <w:p w:rsidR="001850CF" w:rsidRPr="001850CF" w:rsidRDefault="001850CF" w:rsidP="001850CF">
            <w:pPr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Długość 280 mm ± 0.2 mm; Szerokość 214,5 mm ± 0.5 mm.</w:t>
            </w:r>
          </w:p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Wykrywanie znacznika perforacji.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Możliwość wyboru składników raportu co najmniej: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Informacje o pacjencie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Data i godzina wykonania badania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Rodzaj i długość badania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Login wykonującego badania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Odprowadzenia EKG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Sugerowana interpretacja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Pomiary EKG: podstawowe pomiary krzywych EKG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Mapy ST: zapewniają graficzną reprezentację uniesienia/obniżenia odcinka ST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Wstęga rytmu w badaniu EKG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Tabela pomiarów: szczegółowe pomiary dla odprowadzenia EKG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Uśrednienia sygnału: uśrednione zespoły QRS dla każdego odprowadzenia EKG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Pole podsumowania</w:t>
            </w:r>
          </w:p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Oś serca: graficzna reprezentacja osi serca (QRS, T, P)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2A651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Dane wyświetlane na ekranie aparatu co najmniej: </w:t>
            </w:r>
            <w:bookmarkStart w:id="2" w:name="_GoBack"/>
            <w:bookmarkEnd w:id="2"/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Tętno,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imię i nazwisko pacjenta,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identyfikator pacjenta,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godzina,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wskaźnik naładowania baterii,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powiadomienia, komunikaty ostrzegawcze,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zapis krzywych EKG,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ciśnienie krwi,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waga i wzrost pacjenta,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oznaczenia elektrod,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ustawienia prędkości, czułości, filtrów, profilu i systemu elektrod,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asystent podłączenia elektrod,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wskazanie odłączenia elektrod,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login wykonującego badanie, </w:t>
            </w:r>
          </w:p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Wizualna prezentacja poziomu odcinka ST w formie wykresów kołowych.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Automatyczna interpretacja zapisu EKG oparta na algorytmach sztucznej inteligencji do wyboru: w formie słownej, w postaci kodów, możliwość wyłączenia automatycznej interpretacji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dodania własnej interpretacji oraz opinii lekarskiej do badania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przenoszenia wykonanych badań pomiędzy pacjentami.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ponownego wydruku badania zapisanego w pamięci urządzenia używając innych ustawień drukowania.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Parametry mierzone i drukowane na raporcie: RR, P, PQ(PR), QRS, QT, oś P, oś QRS, oś T, QTc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Wizualizacja uśrednionych zespołów sygnału EKG dla każdego kanału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Analiza w trybie Rytm: śr. </w:t>
            </w:r>
            <w:r w:rsidRPr="001850CF">
              <w:rPr>
                <w:rFonts w:ascii="Times New Roman" w:hAnsi="Times New Roman"/>
                <w:kern w:val="2"/>
                <w:lang w:val="en-GB"/>
                <w14:ligatures w14:val="standardContextual"/>
              </w:rPr>
              <w:t>HR, max. HR, min. HR, śr. R-R, max. R-R, min. </w:t>
            </w: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R-R, zliczanie R-R, SDRR, pRR50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Prędkość wydruku / przesuwu papieru (mm/s): 5, 10, 12.5, 25, 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Czułość (mm/mV): 2.5, 5, 10, 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ustawienia dwukrotnie mniejszej czułości elektrod piersiowych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10 fizycznych odprowadzeń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12 kanałów EKG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2A651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 trybie automatycznym niezależny od siebie wybór układów odprowadzeń wyświetlanych na ekranie oraz drukowanych co najmniej: 2x6+0R, 2x6+1R, 1x12+0R, 4x3+0R, 4x3+1R+, 1x6+0R.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Wydruk odprowadzeń w trybie synchronicznym oraz w czasie rzeczywistym (w zależności od wybranego układu)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wyboru formatu odprowadzeń i ich wydruku co najmniej: Einthoven, Cabrera.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ustawienia zapisu wstecznego co najmniej w przedziale 1-10 sekund z amplitudą 1s.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 tr</w:t>
            </w:r>
            <w:r w:rsidR="00302ED6">
              <w:rPr>
                <w:rFonts w:ascii="Times New Roman" w:hAnsi="Times New Roman"/>
                <w:kern w:val="2"/>
                <w14:ligatures w14:val="standardContextual"/>
              </w:rPr>
              <w:t xml:space="preserve">ybie ręcznym drukowanie układu: </w:t>
            </w: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co najmniej 1-4, 6 oraz 12 odprowadzeń.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 trybie automatycznym do wyboru długość zapisu 12-kanałowego EKG spoczynkowego co najmniej (s): 10, 12, 15, 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rozbudowy o moduł SAEC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W trybie Rytm: możliwość zapisu co najmniej 20 minutowego 12-kanałowego EKG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Wspólna pamięć wewnętrzna pozwalająca na zapis co najmniej 3200 badań / 2000 pacjentów / 100 użytkowników / 50 profili użytkowników.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Wyszukiwanie i sortowanie pacjentów w bazie po: imieniu i nazwisku, PESELu, dacie ostatniego badania.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Współpraca z kompleksową platformą medyczną, w której można wykonać i archiwizować zarówno badania EKG z oceną ryzyka nagłej śmierci sercowej, jak i spirometrię, próbę wysiłkową, holter EKG, holter RR i ergospirometrię oraz telekonsultację badań. Wspólna baza pacjentów dla wszystkich modułów diagnostycznych. Generowanie raportów badań wykonanych urządzeń bezpośrednio na komputer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Zestawy filtrów w trybie Auto: 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Predefiniowany zestaw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Automatyczny dobór filtrów.</w:t>
            </w:r>
          </w:p>
          <w:p w:rsidR="001850CF" w:rsidRPr="001850CF" w:rsidRDefault="001850CF" w:rsidP="001850CF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stworzenia własnego zestawu filtrów</w:t>
            </w:r>
          </w:p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wyłączenie filtrów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Filtr miopotencjałów (myo): 170 Hz, 90 Hz adaptacyjny, 20 Hz, 25 Hz, 35 Hz.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Filtr przesunięcia (drift): 0.049 Hz, 0.05 Hz, 0.07 Hz Cubic Spline, 0.15 Hz adaptacyjny, 0.25 Hz adaptacyjny, wariancyjny.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Możliwość ponownego filtrowania sygnału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Kabel pacjenta zabezpieczony przed defibrylacją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2A651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302ED6" w:rsidRDefault="001850CF" w:rsidP="00302ED6">
            <w:pPr>
              <w:widowControl w:val="0"/>
              <w:autoSpaceDE w:val="0"/>
              <w:adjustRightInd w:val="0"/>
              <w:spacing w:line="276" w:lineRule="auto"/>
              <w:rPr>
                <w:rFonts w:eastAsia="SimSu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Kabel Pacjenta składający się z modułu sterującego z wbudowanym przyciskiem wykonania badania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widowControl w:val="0"/>
              <w:autoSpaceDE w:val="0"/>
              <w:adjustRightInd w:val="0"/>
              <w:spacing w:line="27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Dwie niezależne wiązki kabli wpinane do modułu pacjenta</w:t>
            </w:r>
          </w:p>
          <w:p w:rsidR="001850CF" w:rsidRDefault="001850CF" w:rsidP="001850CF">
            <w:pPr>
              <w:pStyle w:val="Akapitzlist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6 odprowadzeń przedsercowych</w:t>
            </w:r>
          </w:p>
          <w:p w:rsidR="001850CF" w:rsidRPr="00302ED6" w:rsidRDefault="001850CF" w:rsidP="00302ED6">
            <w:pPr>
              <w:pStyle w:val="Akapitzlist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02ED6">
              <w:rPr>
                <w:kern w:val="2"/>
                <w:sz w:val="22"/>
                <w:szCs w:val="22"/>
                <w14:ligatures w14:val="standardContextual"/>
              </w:rPr>
              <w:t>4 odprowadzenia kończynowe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Zakres częstotliwości pomiaru: 0.049–250 Hz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  <w:kern w:val="2"/>
                <w14:ligatures w14:val="standardContextual"/>
              </w:rPr>
              <w:t>Cyfrowa rozdzielczość przetwornika: 24 bity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Sprzętowa detekcja impulsu kardiostymulatora o parametrach: 0.1 – 2 ms, 2 – 250 mV, równoważna z 100 000 SPS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regulacji punktu +J od +40 do +100 ms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Zakres pomiaru tętna: 30-300 BPM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Dokładność pomiaru tętna: ±10% albo ±5 bpm, w zależności od tego, która wartość jest wyższa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Minimalna ilość wydrukowanych stron raportów na zasilaniu akumulatorowym min. 420 raportów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Minimalny czas wydruku w trybie ręcznym na zasilaniu akumulatorowym: 1,5 godziny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Minimalny czas nieprzerwanego monitorowania sygnału na zasilaniu akumulatorowym: 3,5 godzin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Czas ładowania max. 4 godziny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Wbudowane fabrycznie minimum 4 gniazda USB (5 V, 1 A) służące do podłączenia co najmniej: klawiatura, mysz, drukarka, moduł pamięci do eksportu raportów (PDF), czytnik kodów kreskowych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połączenia z komputerem przez: przewód RJ45, WI-FI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320A37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320A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320A37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320A3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Możliwość współpracy z worklistą systemu szpitalnego (kompatybilne oprogramowanie i jego integracja nie stanowi części zestawu)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320A37" w:rsidRDefault="001850CF" w:rsidP="001850CF">
            <w:pPr>
              <w:jc w:val="center"/>
              <w:rPr>
                <w:color w:val="000000"/>
                <w:sz w:val="22"/>
                <w:szCs w:val="22"/>
              </w:rPr>
            </w:pPr>
            <w:r w:rsidRPr="00320A37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Możliwość zmiany formatu daty urodzenia pacjenta. Do wyboru 3 formaty.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Przypisanie ról i uprawnień do każdego użytkownika w celu zabezpieczenia danych i zapobieganiu nieautoryzowanej konfiguracji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1850CF" w:rsidRDefault="001850CF" w:rsidP="001850CF">
            <w:pPr>
              <w:rPr>
                <w:b/>
                <w:bCs/>
                <w:sz w:val="22"/>
                <w:szCs w:val="22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Automatyczne wylogowanie użytkownika przy przejściu w tryb czuwania (po określonym czasie braku aktywności)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850C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320A37" w:rsidP="001850CF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F" w:rsidRPr="00302ED6" w:rsidRDefault="001850CF" w:rsidP="00302ED6">
            <w:pPr>
              <w:spacing w:line="276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850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 zestawie dedykowany stolik jezdny do urządzenia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Pr="001850CF" w:rsidRDefault="001850CF" w:rsidP="00302ED6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50CF" w:rsidRDefault="001850CF" w:rsidP="001850C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320A37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 w:rsidRPr="001850CF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320A37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 xml:space="preserve">Karta gwarancyjna </w:t>
            </w:r>
            <w:r w:rsidRPr="001850CF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320A37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320A37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</w:rPr>
              <w:t xml:space="preserve">Przedmiot umowy jest </w:t>
            </w:r>
            <w:r w:rsidRPr="001850CF">
              <w:rPr>
                <w:rFonts w:ascii="Times New Roman" w:hAnsi="Times New Roman"/>
                <w:b/>
                <w:bCs/>
              </w:rPr>
              <w:t>wyrobem medycznym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</w:rPr>
              <w:t>w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</w:rPr>
              <w:t>rozumieniu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1850CF">
              <w:rPr>
                <w:rFonts w:ascii="Times New Roman" w:hAnsi="Times New Roman"/>
              </w:rPr>
              <w:t xml:space="preserve"> (Dz.U. 2024 poz. 1620)</w:t>
            </w:r>
            <w:r w:rsidRPr="001850CF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320A37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C71100" w:rsidRPr="001850CF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Pr="001850CF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</w:rPr>
              <w:t xml:space="preserve">Okres gwarancji minimum 24 miesiące </w:t>
            </w:r>
            <w:r w:rsidRPr="001850CF"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jc w:val="center"/>
              <w:rPr>
                <w:b/>
                <w:bCs/>
                <w:sz w:val="22"/>
                <w:szCs w:val="22"/>
              </w:rPr>
            </w:pPr>
            <w:r w:rsidRPr="001850CF">
              <w:rPr>
                <w:b/>
                <w:bCs/>
                <w:sz w:val="22"/>
                <w:szCs w:val="22"/>
              </w:rPr>
              <w:t>TAK 24 miesiące gwarancji</w:t>
            </w:r>
          </w:p>
          <w:p w:rsidR="00C71100" w:rsidRPr="001850CF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bCs/>
                <w:color w:val="000000" w:themeColor="text1"/>
                <w:sz w:val="22"/>
                <w:szCs w:val="22"/>
              </w:rPr>
              <w:t>Dodatkowy okres gwarancji</w:t>
            </w:r>
            <w:r w:rsidRPr="001850CF">
              <w:rPr>
                <w:color w:val="000000" w:themeColor="text1"/>
                <w:sz w:val="22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58" w:rsidRDefault="00705B58">
      <w:r>
        <w:separator/>
      </w:r>
    </w:p>
  </w:endnote>
  <w:endnote w:type="continuationSeparator" w:id="0">
    <w:p w:rsidR="00705B58" w:rsidRDefault="0070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A6514">
          <w:rPr>
            <w:noProof/>
          </w:rPr>
          <w:t>3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58" w:rsidRDefault="00705B58">
      <w:r>
        <w:separator/>
      </w:r>
    </w:p>
  </w:footnote>
  <w:footnote w:type="continuationSeparator" w:id="0">
    <w:p w:rsidR="00705B58" w:rsidRDefault="0070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B63"/>
    <w:multiLevelType w:val="hybridMultilevel"/>
    <w:tmpl w:val="EDB6F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BC"/>
    <w:multiLevelType w:val="hybridMultilevel"/>
    <w:tmpl w:val="BA26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2FD5"/>
    <w:multiLevelType w:val="hybridMultilevel"/>
    <w:tmpl w:val="A846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465F"/>
    <w:multiLevelType w:val="hybridMultilevel"/>
    <w:tmpl w:val="FD625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3341B"/>
    <w:multiLevelType w:val="hybridMultilevel"/>
    <w:tmpl w:val="A4BC5A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B4A3D"/>
    <w:rsid w:val="00115EFC"/>
    <w:rsid w:val="00126EF0"/>
    <w:rsid w:val="001850CF"/>
    <w:rsid w:val="00187BA1"/>
    <w:rsid w:val="00215984"/>
    <w:rsid w:val="00230613"/>
    <w:rsid w:val="00241893"/>
    <w:rsid w:val="00253764"/>
    <w:rsid w:val="002A6514"/>
    <w:rsid w:val="002C7E55"/>
    <w:rsid w:val="002E376F"/>
    <w:rsid w:val="00302ED6"/>
    <w:rsid w:val="00320A37"/>
    <w:rsid w:val="0034456A"/>
    <w:rsid w:val="0036018D"/>
    <w:rsid w:val="00360CD7"/>
    <w:rsid w:val="0037443A"/>
    <w:rsid w:val="003C0D27"/>
    <w:rsid w:val="003C742B"/>
    <w:rsid w:val="00437503"/>
    <w:rsid w:val="0048185C"/>
    <w:rsid w:val="00493636"/>
    <w:rsid w:val="004D427D"/>
    <w:rsid w:val="00502142"/>
    <w:rsid w:val="005550DF"/>
    <w:rsid w:val="00562910"/>
    <w:rsid w:val="005A70A7"/>
    <w:rsid w:val="0062723B"/>
    <w:rsid w:val="0064572D"/>
    <w:rsid w:val="006A1225"/>
    <w:rsid w:val="006D3EE4"/>
    <w:rsid w:val="00705B58"/>
    <w:rsid w:val="007A4009"/>
    <w:rsid w:val="007D7DAB"/>
    <w:rsid w:val="007E6B03"/>
    <w:rsid w:val="008434E4"/>
    <w:rsid w:val="0084507E"/>
    <w:rsid w:val="00865F64"/>
    <w:rsid w:val="00872C3A"/>
    <w:rsid w:val="008732BC"/>
    <w:rsid w:val="0091307D"/>
    <w:rsid w:val="00916FDA"/>
    <w:rsid w:val="009A1B7F"/>
    <w:rsid w:val="00A219EC"/>
    <w:rsid w:val="00AE5E1B"/>
    <w:rsid w:val="00BB4E6F"/>
    <w:rsid w:val="00C46ECD"/>
    <w:rsid w:val="00C71100"/>
    <w:rsid w:val="00C93CE7"/>
    <w:rsid w:val="00CA12CB"/>
    <w:rsid w:val="00CB57D9"/>
    <w:rsid w:val="00CF4176"/>
    <w:rsid w:val="00D00668"/>
    <w:rsid w:val="00D44CC9"/>
    <w:rsid w:val="00D67BDB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539E9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Nagłowek 3,Preambuła,Kolorowa lista — akcent 11,Dot pt,F5 List Paragraph,Recommendation,List Paragraph11,lp1,maz_wyliczenie,opis dzialania,K-P_odwolanie,A_wyliczenie,Akapit z listą 1,Podsis rysunk,Adresat stanowisko"/>
    <w:basedOn w:val="Normalny"/>
    <w:link w:val="AkapitzlistZnak"/>
    <w:uiPriority w:val="34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Preambuła Znak,Kolorowa lista — akcent 11 Znak,Dot pt Znak,F5 List Paragraph Znak,Recommendation Znak,List Paragraph11 Znak,lp1 Znak,maz_wyliczenie Znak,opis dzialania Znak,K-P_odwolanie Znak"/>
    <w:link w:val="Akapitzlist"/>
    <w:uiPriority w:val="34"/>
    <w:qFormat/>
    <w:locked/>
    <w:rsid w:val="001850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5A52-E68F-4F61-8537-BBD057C2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46</cp:revision>
  <cp:lastPrinted>2026-04-27T08:22:00Z</cp:lastPrinted>
  <dcterms:created xsi:type="dcterms:W3CDTF">2025-12-03T13:31:00Z</dcterms:created>
  <dcterms:modified xsi:type="dcterms:W3CDTF">2026-05-15T08:55:00Z</dcterms:modified>
  <dc:language>pl-PL</dc:language>
</cp:coreProperties>
</file>